
<file path=[Content_Types].xml><?xml version="1.0" encoding="utf-8"?>
<Types xmlns="http://schemas.openxmlformats.org/package/2006/content-types">
  <Default Extension="xml" ContentType="application/xml"/>
  <Default Extension="wmf" ContentType="image/x-wmf"/>
  <Default Extension="bin" ContentType="application/vnd.openxmlformats-officedocument.oleObject"/>
  <Default Extension="rels" ContentType="application/vnd.openxmlformats-package.relationships+xml"/>
  <Default Extension="jpeg" ContentType="image/jpeg"/>
  <Default Extension="png" ContentType="image/png"/>
  <Override PartName="/docProps/core.xml" ContentType="application/vnd.openxmlformats-package.core-properties+xml"/>
  <Override PartName="/word/footer2.xml" ContentType="application/vnd.openxmlformats-officedocument.wordprocessingml.footer+xml"/>
  <Override PartName="/word/header2.xml" ContentType="application/vnd.openxmlformats-officedocument.wordprocessingml.header+xml"/>
  <Override PartName="/word/webSettings.xml" ContentType="application/vnd.openxmlformats-officedocument.wordprocessingml.webSetting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footnotes.xml" ContentType="application/vnd.openxmlformats-officedocument.wordprocessingml.footnotes+xml"/>
  <Override PartName="/word/document.xml" ContentType="application/vnd.openxmlformats-officedocument.wordprocessingml.document.main+xml"/>
  <Override PartName="/word/header1.xml" ContentType="application/vnd.openxmlformats-officedocument.wordprocessingml.header+xml"/>
  <Override PartName="/word/styles.xml" ContentType="application/vnd.openxmlformats-officedocument.wordprocessingml.styles+xml"/>
  <Override PartName="/word/fontTable.xml" ContentType="application/vnd.openxmlformats-officedocument.wordprocessingml.fontTable+xml"/>
  <Override PartName="/word/theme/theme1.xml" ContentType="application/vnd.openxmlformats-officedocument.theme+xml"/>
  <Override PartName="/word/numbering.xml" ContentType="application/vnd.openxmlformats-officedocument.wordprocessingml.numbering+xml"/>
  <Override PartName="/word/endnotes.xml" ContentType="application/vnd.openxmlformats-officedocument.wordprocessingml.endnotes+xml"/>
</Types>
</file>

<file path=_rels/.rels><?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http://schemas.openxmlformats.org/wordprocessingml/2006/main" xmlns:wpg="http://schemas.microsoft.com/office/word/2010/wordprocessingGroup" xmlns:wpi="http://schemas.microsoft.com/office/word/2010/wordprocessingInk" xmlns:a="http://schemas.openxmlformats.org/drawingml/2006/main" xmlns:wne="http://schemas.microsoft.com/office/word/2006/wordml" xmlns:wps="http://schemas.microsoft.com/office/word/2010/wordprocessingShape" xmlns:w10="urn:schemas-microsoft-com:office:word" xmlns:wp14="http://schemas.microsoft.com/office/word/2010/wordprocessingDrawing"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body>
    <w:p>
      <w:pPr>
        <w:pStyle w:val="978"/>
        <w:pBdr/>
        <w:shd w:val="clear" w:color="auto" w:fill="1b5e3b"/>
        <w:bidi w:val="false"/>
        <w:spacing w:after="0" w:before="0" w:line="600" w:lineRule="exact"/>
        <w:ind/>
        <w:jc w:val="left"/>
        <w:rPr/>
      </w:pPr>
      <w:r/>
      <w:r/>
    </w:p>
    <w:p>
      <w:pPr>
        <w:pStyle w:val="978"/>
        <w:pBdr/>
        <w:bidi w:val="false"/>
        <w:spacing w:after="180" w:before="3600"/>
        <w:ind/>
        <w:jc w:val="left"/>
        <w:rPr/>
      </w:pPr>
      <w:r/>
      <w:r/>
    </w:p>
    <w:p>
      <w:pPr>
        <w:pStyle w:val="978"/>
        <w:pBdr/>
        <w:bidi w:val="false"/>
        <w:spacing w:after="200" w:before="0"/>
        <w:ind w:right="1440" w:left="1440"/>
        <w:jc w:val="left"/>
        <w:rPr/>
      </w:pPr>
      <w:r>
        <w:rPr>
          <w:b/>
          <w:color w:val="1b5e3b"/>
          <w:spacing w:val="30"/>
          <w:sz w:val="72"/>
        </w:rPr>
        <w:t xml:space="preserve">National Climate Impact</w:t>
      </w:r>
      <w:r/>
    </w:p>
    <w:p>
      <w:pPr>
        <w:pStyle w:val="978"/>
        <w:pBdr/>
        <w:bidi w:val="false"/>
        <w:spacing w:after="400" w:before="0"/>
        <w:ind w:right="1440" w:left="1440"/>
        <w:jc w:val="left"/>
        <w:rPr/>
      </w:pPr>
      <w:r>
        <w:rPr>
          <w:b/>
          <w:color w:val="1b5e3b"/>
          <w:spacing w:val="30"/>
          <w:sz w:val="72"/>
        </w:rPr>
        <w:t xml:space="preserve">and Resilience Fund</w:t>
      </w:r>
      <w:r/>
    </w:p>
    <w:p>
      <w:pPr>
        <w:pStyle w:val="978"/>
        <w:pBdr/>
        <w:bidi w:val="false"/>
        <w:spacing w:after="600" w:before="0"/>
        <w:ind w:right="1440" w:left="1440"/>
        <w:jc w:val="left"/>
        <w:rPr/>
      </w:pPr>
      <w:r>
        <w:rPr>
          <w:color w:val="2e7d6f"/>
          <w:sz w:val="36"/>
        </w:rPr>
        <w:t xml:space="preserve">An ACC-Type Implementation Timeline</w:t>
      </w:r>
      <w:r/>
    </w:p>
    <w:p>
      <w:pPr>
        <w:pStyle w:val="978"/>
        <w:pBdr>
          <w:bottom w:val="single" w:color="4a9b8e" w:sz="12" w:space="1"/>
        </w:pBdr>
        <w:bidi w:val="false"/>
        <w:spacing w:after="600" w:before="0"/>
        <w:ind w:left="1440"/>
        <w:jc w:val="left"/>
        <w:rPr/>
      </w:pPr>
      <w:r/>
      <w:r/>
    </w:p>
    <w:p>
      <w:pPr>
        <w:pStyle w:val="978"/>
        <w:pBdr/>
        <w:bidi w:val="false"/>
        <w:spacing w:after="120" w:before="0"/>
        <w:ind w:right="1440" w:left="1440"/>
        <w:jc w:val="left"/>
        <w:rPr/>
      </w:pPr>
      <w:r>
        <w:rPr>
          <w:color w:val="3d5c54"/>
          <w:sz w:val="22"/>
        </w:rPr>
        <w:t xml:space="preserve">Proposed Model: CIR-ACC (Climate Impact and Resilience - Accident Compensation Corporation framework)</w:t>
      </w:r>
      <w:r/>
    </w:p>
    <w:p>
      <w:pPr>
        <w:pStyle w:val="978"/>
        <w:pBdr/>
        <w:bidi w:val="false"/>
        <w:spacing w:after="2400" w:before="0"/>
        <w:ind w:right="1440" w:left="1440"/>
        <w:jc w:val="left"/>
        <w:rPr/>
      </w:pPr>
      <w:r>
        <w:rPr>
          <w:color w:val="3d5c54"/>
          <w:sz w:val="22"/>
        </w:rPr>
        <w:t xml:space="preserve">Funding Structure: 40% Crown / 60% Levy-Funded | Actuarial Risk Model</w:t>
      </w:r>
      <w:r/>
    </w:p>
    <w:p>
      <w:pPr>
        <w:pStyle w:val="978"/>
        <w:pBdr/>
        <w:bidi w:val="false"/>
        <w:spacing w:after="0" w:before="0"/>
        <w:ind w:left="1440"/>
        <w:jc w:val="left"/>
        <w:rPr>
          <w:b/>
          <w:bCs/>
          <w:color w:val="78ccfd" w:themeColor="accent2" w:themeTint="66"/>
          <w:highlight w:val="none"/>
        </w:rPr>
      </w:pPr>
      <w:r>
        <w:rPr>
          <w:b/>
          <w:bCs/>
          <w:color w:val="78ccfd" w:themeColor="accent2" w:themeTint="66"/>
          <w:sz w:val="20"/>
        </w:rPr>
        <w:t xml:space="preserve">May 2026</w:t>
      </w:r>
      <w:r>
        <w:rPr>
          <w:b/>
          <w:bCs/>
          <w:color w:val="78ccfd" w:themeColor="accent2" w:themeTint="66"/>
        </w:rPr>
      </w:r>
      <w:r>
        <w:rPr>
          <w:b/>
          <w:bCs/>
          <w:color w:val="78ccfd" w:themeColor="accent2" w:themeTint="66"/>
          <w:highlight w:val="none"/>
        </w:rPr>
      </w:r>
    </w:p>
    <w:p w14:paraId="44BBE531">
      <w:pPr>
        <w:pStyle w:val="978"/>
        <w:pBdr/>
        <w:bidi w:val="false"/>
        <w:spacing w:after="0" w:before="0"/>
        <w:ind w:left="1440"/>
        <w:jc w:val="left"/>
        <w:rPr>
          <w:b/>
          <w:bCs/>
          <w:color w:val="78ccfd" w:themeColor="accent2" w:themeTint="66"/>
        </w:rPr>
      </w:pPr>
      <w:r>
        <w:rPr>
          <w:b/>
          <w:bCs/>
          <w:color w:val="78ccfd" w:themeColor="accent2" w:themeTint="66"/>
        </w:rPr>
      </w:r>
      <w:r>
        <w:rPr>
          <w:b/>
          <w:bCs/>
          <w:color w:val="78ccfd" w:themeColor="accent2" w:themeTint="66"/>
          <w:lang w:val="en-US"/>
        </w:rPr>
        <w:t xml:space="preserve">Paul  Martin –paulm100m@gmail.com</w:t>
      </w:r>
      <w:r>
        <w:rPr>
          <w:b/>
          <w:bCs/>
          <w:color w:val="78ccfd" w:themeColor="accent2" w:themeTint="66"/>
        </w:rPr>
      </w:r>
      <w:r>
        <w:rPr>
          <w:b/>
          <w:bCs/>
          <w:color w:val="78ccfd" w:themeColor="accent2" w:themeTint="66"/>
        </w:rPr>
      </w:r>
    </w:p>
    <w:p w14:paraId="35215941">
      <w:pPr>
        <w:pStyle w:val="978"/>
        <w:pBdr/>
        <w:bidi w:val="false"/>
        <w:spacing w:after="0" w:before="0"/>
        <w:ind w:left="1440"/>
        <w:jc w:val="left"/>
        <w:rPr/>
      </w:pPr>
      <w:r/>
      <w:r/>
    </w:p>
    <w:p w14:paraId="3225D250">
      <w:pPr>
        <w:pStyle w:val="978"/>
        <w:pBdr/>
        <w:bidi w:val="false"/>
        <w:spacing w:after="0" w:before="0"/>
        <w:ind w:left="0"/>
        <w:jc w:val="left"/>
        <w:rPr/>
        <w:sectPr>
          <w:footnotePr/>
          <w:endnotePr/>
          <w:type w:val="nextPage"/>
          <w:pgSz w:h="16838" w:orient="portrait" w:w="11906"/>
          <w:pgMar w:top="0" w:right="0" w:bottom="720" w:left="0" w:header="0" w:footer="0" w:gutter="0"/>
          <w:cols w:num="1" w:sep="0" w:space="1701" w:equalWidth="1"/>
        </w:sectPr>
      </w:pPr>
      <w:r>
        <w:rPr>
          <w:highlight w:val="none"/>
        </w:rPr>
      </w:r>
      <w:r>
        <w:rPr>
          <w:highlight w:val="none"/>
        </w:rPr>
      </w:r>
      <w:r/>
    </w:p>
    <w:p>
      <w:pPr>
        <w:pStyle w:val="979"/>
        <w:pBdr/>
        <w:bidi w:val="false"/>
        <w:spacing/>
        <w:ind/>
        <w:jc w:val="left"/>
        <w:rPr/>
      </w:pPr>
      <w:r>
        <w:t xml:space="preserve">Table of Contents</w:t>
      </w:r>
      <w:bookmarkStart w:id="0" w:name="_Toc000"/>
      <w:r/>
      <w:bookmarkEnd w:id="0"/>
      <w:r/>
      <w:r/>
    </w:p>
    <w:p>
      <w:pPr>
        <w:pStyle w:val="978"/>
        <w:pBdr/>
        <w:bidi w:val="false"/>
        <w:spacing w:after="240" w:before="0"/>
        <w:ind/>
        <w:jc w:val="left"/>
        <w:rPr/>
      </w:pPr>
      <w:r>
        <w:rPr>
          <w:color w:val="6b8f7d"/>
          <w:sz w:val="18"/>
        </w:rPr>
        <w:t xml:space="preserve">Right-click the TOC and select "Update Field" to refresh page numbers</w:t>
      </w:r>
      <w:r/>
    </w:p>
    <w:sdt>
      <w:sdtPr>
        <w15:appearance w15:val="boundingBox"/>
        <w:docPartObj>
          <w:docPartGallery w:val="Table of Contents"/>
          <w:docPartUnique w:val="true"/>
        </w:docPartObj>
        <w:rPr/>
      </w:sdtPr>
      <w:sdtContent>
        <w:p>
          <w:pPr>
            <w:pStyle w:val="978"/>
            <w:pBdr/>
            <w:bidi w:val="false"/>
            <w:spacing w:after="180" w:before="0" w:line="300" w:lineRule="auto"/>
            <w:ind/>
            <w:jc w:val="left"/>
            <w:rPr>
              <w:rFonts w:ascii="Calibri" w:hAnsi="Calibri" w:eastAsia="Microsoft YaHei"/>
              <w:color w:val="1a2f2a"/>
              <w:sz w:val="22"/>
            </w:rPr>
          </w:pPr>
          <w:r>
            <w:fldChar w:fldCharType="begin"/>
          </w:r>
          <w:r>
            <w:rPr>
              <w:rFonts w:eastAsia="Microsoft YaHei"/>
              <w:color w:val="1a2f2a"/>
              <w:sz w:val="22"/>
            </w:rPr>
            <w:instrText xml:space="preserve"> TOC \z \o "1-3" \u \h</w:instrText>
          </w:r>
          <w:r>
            <w:rPr>
              <w:rFonts w:eastAsia="Microsoft YaHei"/>
              <w:color w:val="1a2f2a"/>
              <w:sz w:val="22"/>
            </w:rPr>
            <w:fldChar w:fldCharType="separate"/>
          </w:r>
          <w:r>
            <w:rPr>
              <w:rFonts w:ascii="Calibri" w:hAnsi="Calibri" w:eastAsia="Microsoft YaHei"/>
              <w:color w:val="1a2f2a"/>
              <w:sz w:val="22"/>
            </w:rPr>
          </w:r>
          <w:r>
            <w:rPr>
              <w:rFonts w:ascii="Calibri" w:hAnsi="Calibri" w:eastAsia="Microsoft YaHei"/>
              <w:color w:val="1a2f2a"/>
              <w:sz w:val="22"/>
            </w:rPr>
          </w:r>
        </w:p>
        <w:p>
          <w:pPr>
            <w:pStyle w:val="991"/>
            <w:pBdr/>
            <w:bidi w:val="false"/>
            <w:spacing w:after="60" w:before="180"/>
            <w:ind w:left="0"/>
            <w:jc w:val="left"/>
            <w:rPr/>
          </w:pPr>
          <w:r>
            <w:t xml:space="preserve">Executive Summary</w:t>
            <w:tab/>
            <w:t xml:space="preserve">3</w:t>
          </w:r>
          <w:r/>
        </w:p>
        <w:p>
          <w:pPr>
            <w:pStyle w:val="991"/>
            <w:pBdr/>
            <w:bidi w:val="false"/>
            <w:spacing w:after="60" w:before="180"/>
            <w:ind w:left="0"/>
            <w:jc w:val="left"/>
            <w:rPr/>
          </w:pPr>
          <w:r>
            <w:t xml:space="preserve">Fund Architecture and Design Principles</w:t>
            <w:tab/>
            <w:t xml:space="preserve">4</w:t>
          </w:r>
          <w:r/>
        </w:p>
        <w:p>
          <w:pPr>
            <w:pStyle w:val="992"/>
            <w:pBdr/>
            <w:bidi w:val="false"/>
            <w:spacing w:after="60" w:before="60"/>
            <w:ind w:left="360"/>
            <w:jc w:val="left"/>
            <w:rPr/>
          </w:pPr>
          <w:r>
            <w:t xml:space="preserve">Core Design Features</w:t>
            <w:tab/>
            <w:t xml:space="preserve">4</w:t>
          </w:r>
          <w:r/>
        </w:p>
        <w:p>
          <w:pPr>
            <w:pStyle w:val="992"/>
            <w:pBdr/>
            <w:bidi w:val="false"/>
            <w:spacing w:after="60" w:before="60"/>
            <w:ind w:left="360"/>
            <w:jc w:val="left"/>
            <w:rPr/>
          </w:pPr>
          <w:r>
            <w:t xml:space="preserve">Funding Model</w:t>
            <w:tab/>
            <w:t xml:space="preserve">5</w:t>
          </w:r>
          <w:r/>
        </w:p>
        <w:p>
          <w:pPr>
            <w:pStyle w:val="991"/>
            <w:pBdr/>
            <w:bidi w:val="false"/>
            <w:spacing w:after="60" w:before="180"/>
            <w:ind w:left="0"/>
            <w:jc w:val="left"/>
            <w:rPr/>
          </w:pPr>
          <w:r>
            <w:t xml:space="preserve">Phase 1: Foundation and Legislative Development (2026-2027)</w:t>
            <w:tab/>
            <w:t xml:space="preserve">6</w:t>
          </w:r>
          <w:r/>
        </w:p>
        <w:p>
          <w:pPr>
            <w:pStyle w:val="991"/>
            <w:pBdr/>
            <w:bidi w:val="false"/>
            <w:spacing w:after="60" w:before="180"/>
            <w:ind w:left="0"/>
            <w:jc w:val="left"/>
            <w:rPr/>
          </w:pPr>
          <w:r>
            <w:t xml:space="preserve">Phase 2: Parliamentary Process and Establishment (2027-2028)</w:t>
            <w:tab/>
            <w:t xml:space="preserve">8</w:t>
          </w:r>
          <w:r/>
        </w:p>
        <w:p>
          <w:pPr>
            <w:pStyle w:val="991"/>
            <w:pBdr/>
            <w:bidi w:val="false"/>
            <w:spacing w:after="60" w:before="180"/>
            <w:ind w:left="0"/>
            <w:jc w:val="left"/>
            <w:rPr/>
          </w:pPr>
          <w:r>
            <w:t xml:space="preserve">Phase 3: Operational Launch and Pilot Programmes (2028-2029)</w:t>
            <w:tab/>
            <w:t xml:space="preserve">10</w:t>
          </w:r>
          <w:r/>
        </w:p>
        <w:p>
          <w:pPr>
            <w:pStyle w:val="991"/>
            <w:pBdr/>
            <w:bidi w:val="false"/>
            <w:spacing w:after="60" w:before="180"/>
            <w:ind w:left="0"/>
            <w:jc w:val="left"/>
            <w:rPr/>
          </w:pPr>
          <w:r>
            <w:t xml:space="preserve">Phase 4: Full Operation and Integration (2029-2031)</w:t>
            <w:tab/>
            <w:t xml:space="preserve">12</w:t>
          </w:r>
          <w:r/>
        </w:p>
        <w:p>
          <w:pPr>
            <w:pStyle w:val="991"/>
            <w:pBdr/>
            <w:bidi w:val="false"/>
            <w:spacing w:after="60" w:before="180"/>
            <w:ind w:left="0"/>
            <w:jc w:val="left"/>
            <w:rPr/>
          </w:pPr>
          <w:r>
            <w:t xml:space="preserve">Phase 5: Long-Term Maturity and Expansion (2031-2035+)</w:t>
            <w:tab/>
            <w:t xml:space="preserve">14</w:t>
          </w:r>
          <w:r/>
        </w:p>
        <w:p>
          <w:pPr>
            <w:pStyle w:val="991"/>
            <w:pBdr/>
            <w:bidi w:val="false"/>
            <w:spacing w:after="60" w:before="180"/>
            <w:ind w:left="0"/>
            <w:jc w:val="left"/>
            <w:rPr/>
          </w:pPr>
          <w:r>
            <w:t xml:space="preserve">Governance Structure and Accountability</w:t>
            <w:tab/>
            <w:t xml:space="preserve">16</w:t>
          </w:r>
          <w:r/>
        </w:p>
        <w:p>
          <w:pPr>
            <w:pStyle w:val="991"/>
            <w:pBdr/>
            <w:bidi w:val="false"/>
            <w:spacing w:after="60" w:before="180"/>
            <w:ind w:left="0"/>
            <w:jc w:val="left"/>
            <w:rPr/>
          </w:pPr>
          <w:r>
            <w:t xml:space="preserve">Local Government Access Framework</w:t>
            <w:tab/>
            <w:t xml:space="preserve">17</w:t>
          </w:r>
          <w:r/>
        </w:p>
        <w:p>
          <w:pPr>
            <w:pStyle w:val="991"/>
            <w:pBdr/>
            <w:bidi w:val="false"/>
            <w:spacing w:after="60" w:before="180"/>
            <w:ind w:left="0"/>
            <w:jc w:val="left"/>
            <w:rPr/>
          </w:pPr>
          <w:r>
            <w:t xml:space="preserve">Risk Factors and Mitigation</w:t>
            <w:tab/>
            <w:t xml:space="preserve">18</w:t>
          </w:r>
          <w:r/>
        </w:p>
        <w:p>
          <w:pPr>
            <w:pStyle w:val="991"/>
            <w:pBdr/>
            <w:bidi w:val="false"/>
            <w:spacing w:after="60" w:before="180"/>
            <w:ind w:left="0"/>
            <w:jc w:val="left"/>
            <w:rPr/>
          </w:pPr>
          <w:r>
            <w:t xml:space="preserve">Conclusion</w:t>
            <w:tab/>
            <w:t xml:space="preserve">19</w:t>
          </w:r>
          <w:r>
            <w:fldChar w:fldCharType="end"/>
          </w:r>
          <w:r/>
        </w:p>
      </w:sdtContent>
    </w:sdt>
    <w:p>
      <w:pPr>
        <w:pStyle w:val="978"/>
        <w:pBdr/>
        <w:bidi w:val="false"/>
        <w:spacing w:after="180" w:before="0" w:line="300" w:lineRule="auto"/>
        <w:ind/>
        <w:jc w:val="left"/>
        <w:rPr>
          <w:rFonts w:ascii="Calibri" w:hAnsi="Calibri" w:eastAsia="Microsoft YaHei"/>
          <w:color w:val="1a2f2a"/>
          <w:sz w:val="22"/>
        </w:rPr>
        <w:sectPr>
          <w:footnotePr/>
          <w:endnotePr/>
          <w:type w:val="nextPage"/>
          <w:pgSz w:h="16838" w:orient="portrait" w:w="11906"/>
          <w:pgMar w:top="1800" w:right="1440" w:bottom="1440" w:left="1440" w:header="0" w:footer="0" w:gutter="0"/>
          <w:cols w:num="1" w:sep="0" w:space="1701" w:equalWidth="1"/>
        </w:sectPr>
      </w:pPr>
      <w:r>
        <w:rPr>
          <w:rFonts w:eastAsia="Microsoft YaHei"/>
          <w:color w:val="1a2f2a"/>
          <w:sz w:val="22"/>
        </w:rPr>
      </w:r>
      <w:r>
        <w:rPr>
          <w:rFonts w:ascii="Calibri" w:hAnsi="Calibri" w:eastAsia="Microsoft YaHei"/>
          <w:color w:val="1a2f2a"/>
          <w:sz w:val="22"/>
        </w:rPr>
      </w:r>
      <w:r>
        <w:rPr>
          <w:rFonts w:ascii="Calibri" w:hAnsi="Calibri" w:eastAsia="Microsoft YaHei"/>
          <w:color w:val="1a2f2a"/>
          <w:sz w:val="22"/>
        </w:rPr>
      </w:r>
    </w:p>
    <w:p>
      <w:pPr>
        <w:pStyle w:val="979"/>
        <w:pBdr/>
        <w:bidi w:val="false"/>
        <w:spacing/>
        <w:ind/>
        <w:jc w:val="left"/>
        <w:rPr/>
      </w:pPr>
      <w:r>
        <w:t xml:space="preserve">Executive Summary</w:t>
      </w:r>
      <w:bookmarkStart w:id="1" w:name="_Toc001"/>
      <w:r/>
      <w:bookmarkEnd w:id="1"/>
      <w:r/>
      <w:r/>
    </w:p>
    <w:p>
      <w:pPr>
        <w:pStyle w:val="978"/>
        <w:pBdr/>
        <w:bidi w:val="false"/>
        <w:spacing w:after="180" w:before="0" w:line="300" w:lineRule="auto"/>
        <w:ind/>
        <w:jc w:val="left"/>
        <w:rPr/>
      </w:pPr>
      <w:r>
        <w:t xml:space="preserve">This document presents a comprehensive implementation timeline for establishing a National Climate Impact and Resilience Fund (CIR-ACC), modelled on New Zealand's Accident Compensation Corporation (ACC) framework</w:t>
      </w:r>
      <w:r>
        <w:t xml:space="preserve">. The proposal originates from </w:t>
      </w:r>
      <w:r>
        <w:rPr>
          <w:lang w:val="en-US"/>
        </w:rPr>
        <w:t xml:space="preserve">a </w:t>
      </w:r>
      <w:r>
        <w:t xml:space="preserve"> District Council Annual Plan 2026/2027 submission, which identified the urgent need for a permanent, pre-funded mechanism to address climate-related infrastructure damage, managed retreat, and community resilience.</w:t>
      </w:r>
      <w:r/>
    </w:p>
    <w:p>
      <w:pPr>
        <w:pStyle w:val="978"/>
        <w:pBdr/>
        <w:bidi w:val="false"/>
        <w:spacing w:after="180" w:before="0" w:line="300" w:lineRule="auto"/>
        <w:ind/>
        <w:jc w:val="left"/>
        <w:rPr/>
      </w:pPr>
      <w:r>
        <w:t xml:space="preserve">The current ad-hoc, post-disaster funding model leaves councils and ratepayers as insurers of last resort for climate volatility. The 2025 Tasman floods exposed the </w:t>
      </w:r>
      <w:r>
        <w:t xml:space="preserve">structural weaknesses in this approach, with fiscal shortfalls persisting despite central government co-funding. One-off funds are structurally incapable of keeping pace with the inevitable intensification and increased frequency of extreme weather events.</w:t>
      </w:r>
      <w:r/>
    </w:p>
    <w:p>
      <w:pPr>
        <w:pStyle w:val="978"/>
        <w:pBdr/>
        <w:bidi w:val="false"/>
        <w:spacing w:after="180" w:before="0" w:line="300" w:lineRule="auto"/>
        <w:ind/>
        <w:jc w:val="left"/>
        <w:rPr/>
      </w:pPr>
      <w:r>
        <w:t xml:space="preserve">The ACC-type fund proposed here would operate as a mandatory, ring-fenced national mechanism, funded through a combination of levies on property insurance premiums, levies on commercial land value, and a fixed-ratio Crown contribut</w:t>
      </w:r>
      <w:r>
        <w:t xml:space="preserve">ion (40% Crown, 60% levy-funded). The fund would use an actuarial model where climate risk is annualised rather than capped per disaster, providing local government with predictable access to resources for both pre-emptive mitigation and post-event relief.</w:t>
      </w:r>
      <w:r/>
    </w:p>
    <w:tbl>
      <w:tblPr>
        <w:tblInd w:w="118" w:type="dxa"/>
        <w:tblW w:w="5000" w:type="pct"/>
        <w:tblCellMar>
          <w:left w:w="108" w:type="dxa"/>
          <w:top w:w="0" w:type="dxa"/>
          <w:right w:w="108" w:type="dxa"/>
          <w:bottom w:w="0" w:type="dxa"/>
        </w:tblCellMar>
        <w:tblBorders/>
        <w:tblLayout w:type="fixed"/>
        <w:tblLook w:val="04A0" w:firstRow="1" w:lastRow="0" w:firstColumn="1" w:lastColumn="0" w:noHBand="0" w:noVBand="1"/>
      </w:tblPr>
      <w:tblGrid>
        <w:gridCol w:w="9026"/>
      </w:tblGrid>
      <w:tr>
        <w:trPr/>
        <w:tc>
          <w:tcPr>
            <w:shd w:val="clear" w:color="auto" w:fill="f0f7f3"/>
            <w:tcBorders>
              <w:top w:val="single" w:color="2e7d6f" w:sz="8" w:space="0"/>
              <w:left w:val="single" w:color="2e7d6f" w:sz="8" w:space="0"/>
              <w:right w:val="single" w:color="2e7d6f" w:sz="8" w:space="0"/>
            </w:tcBorders>
            <w:tcW w:w="9026" w:type="dxa"/>
          </w:tcPr>
          <w:p>
            <w:pPr>
              <w:pStyle w:val="978"/>
              <w:pBdr/>
              <w:bidi w:val="false"/>
              <w:spacing w:after="60" w:before="100"/>
              <w:ind/>
              <w:jc w:val="left"/>
              <w:rPr/>
            </w:pPr>
            <w:r>
              <w:rPr>
                <w:b/>
                <w:color w:val="2e7d6f"/>
                <w:sz w:val="22"/>
              </w:rPr>
              <w:t xml:space="preserve">Key Features of the Proposed CIR-ACC</w:t>
            </w:r>
            <w:r/>
          </w:p>
        </w:tc>
      </w:tr>
      <w:tr>
        <w:trPr/>
        <w:tc>
          <w:tcPr>
            <w:shd w:val="clear" w:color="auto" w:fill="f0f7f3"/>
            <w:tcBorders>
              <w:left w:val="single" w:color="2e7d6f" w:sz="8" w:space="0"/>
              <w:bottom w:val="single" w:color="2e7d6f" w:sz="8" w:space="0"/>
              <w:right w:val="single" w:color="2e7d6f" w:sz="8" w:space="0"/>
            </w:tcBorders>
            <w:tcW w:w="9026" w:type="dxa"/>
          </w:tcPr>
          <w:p>
            <w:pPr>
              <w:pStyle w:val="978"/>
              <w:pBdr/>
              <w:bidi w:val="false"/>
              <w:spacing w:after="40" w:before="40"/>
              <w:ind/>
              <w:jc w:val="left"/>
              <w:rPr/>
            </w:pPr>
            <w:r>
              <w:rPr>
                <w:color w:val="4a9b8e"/>
              </w:rPr>
              <w:t xml:space="preserve">✓  </w:t>
            </w:r>
            <w:r>
              <w:rPr>
                <w:color w:val="1a2f2a"/>
                <w:sz w:val="20"/>
              </w:rPr>
              <w:t xml:space="preserve">Permanent, pre-funded mechanism replacing ad-hoc disaster bailouts</w:t>
            </w:r>
            <w:r/>
          </w:p>
          <w:p>
            <w:pPr>
              <w:pStyle w:val="978"/>
              <w:pBdr/>
              <w:bidi w:val="false"/>
              <w:spacing w:after="40" w:before="40"/>
              <w:ind/>
              <w:jc w:val="left"/>
              <w:rPr/>
            </w:pPr>
            <w:r>
              <w:rPr>
                <w:color w:val="4a9b8e"/>
              </w:rPr>
              <w:t xml:space="preserve">✓  </w:t>
            </w:r>
            <w:r>
              <w:rPr>
                <w:color w:val="1a2f2a"/>
                <w:sz w:val="20"/>
              </w:rPr>
              <w:t xml:space="preserve">Actuarial risk model — climate risk annualised, not capped per event</w:t>
            </w:r>
            <w:r/>
          </w:p>
          <w:p>
            <w:pPr>
              <w:pStyle w:val="978"/>
              <w:pBdr/>
              <w:bidi w:val="false"/>
              <w:spacing w:after="40" w:before="40"/>
              <w:ind/>
              <w:jc w:val="left"/>
              <w:rPr/>
            </w:pPr>
            <w:r>
              <w:rPr>
                <w:color w:val="4a9b8e"/>
              </w:rPr>
              <w:t xml:space="preserve">✓  </w:t>
            </w:r>
            <w:r>
              <w:rPr>
                <w:color w:val="1a2f2a"/>
                <w:sz w:val="20"/>
              </w:rPr>
              <w:t xml:space="preserve">Three funding streams: property insurance levy, commercial land value levy, Crown contribution</w:t>
            </w:r>
            <w:r/>
          </w:p>
          <w:p>
            <w:pPr>
              <w:pStyle w:val="978"/>
              <w:pBdr/>
              <w:bidi w:val="false"/>
              <w:spacing w:after="40" w:before="40"/>
              <w:ind/>
              <w:jc w:val="left"/>
              <w:rPr/>
            </w:pPr>
            <w:r>
              <w:rPr>
                <w:color w:val="4a9b8e"/>
              </w:rPr>
              <w:t xml:space="preserve">✓  </w:t>
            </w:r>
            <w:r>
              <w:rPr>
                <w:color w:val="1a2f2a"/>
                <w:sz w:val="20"/>
              </w:rPr>
              <w:t xml:space="preserve">Dual purpose: pre-emptive mitigation AND post-event relief</w:t>
            </w:r>
            <w:r/>
          </w:p>
          <w:p>
            <w:pPr>
              <w:pStyle w:val="978"/>
              <w:pBdr/>
              <w:bidi w:val="false"/>
              <w:spacing w:after="40" w:before="40"/>
              <w:ind/>
              <w:jc w:val="left"/>
              <w:rPr/>
            </w:pPr>
            <w:r>
              <w:rPr>
                <w:color w:val="4a9b8e"/>
              </w:rPr>
              <w:t xml:space="preserve">✓  </w:t>
            </w:r>
            <w:r>
              <w:rPr>
                <w:color w:val="1a2f2a"/>
                <w:sz w:val="20"/>
              </w:rPr>
              <w:t xml:space="preserve">Predictable access criteria for all local authorities</w:t>
            </w:r>
            <w:r/>
          </w:p>
          <w:p>
            <w:pPr>
              <w:pStyle w:val="978"/>
              <w:pBdr/>
              <w:bidi w:val="false"/>
              <w:spacing w:after="40" w:before="40"/>
              <w:ind/>
              <w:jc w:val="left"/>
              <w:rPr/>
            </w:pPr>
            <w:r>
              <w:rPr>
                <w:color w:val="4a9b8e"/>
              </w:rPr>
              <w:t xml:space="preserve">✓  </w:t>
            </w:r>
            <w:r>
              <w:rPr>
                <w:color w:val="1a2f2a"/>
                <w:sz w:val="20"/>
              </w:rPr>
              <w:t xml:space="preserve">Independent governance with Crown, local government, and iwi/Maori representation</w:t>
            </w:r>
            <w:r/>
          </w:p>
          <w:p>
            <w:pPr>
              <w:pStyle w:val="978"/>
              <w:pBdr/>
              <w:bidi w:val="false"/>
              <w:spacing w:after="60" w:before="0"/>
              <w:ind/>
              <w:jc w:val="left"/>
              <w:rPr/>
            </w:pPr>
            <w:r/>
            <w:r/>
          </w:p>
        </w:tc>
      </w:tr>
    </w:tbl>
    <w:p>
      <w:pPr>
        <w:pStyle w:val="979"/>
        <w:keepNext w:val="true"/>
        <w:keepLines w:val="true"/>
        <w:pBdr/>
        <w:bidi w:val="false"/>
        <w:spacing w:after="200" w:before="500"/>
        <w:ind/>
        <w:jc w:val="left"/>
        <w:rPr/>
      </w:pPr>
      <w:r>
        <w:t xml:space="preserve">Fund Architecture and Design Principles</w:t>
      </w:r>
      <w:bookmarkStart w:id="2" w:name="_Toc002"/>
      <w:r/>
      <w:bookmarkEnd w:id="2"/>
      <w:r/>
      <w:r/>
    </w:p>
    <w:p>
      <w:pPr>
        <w:pStyle w:val="980"/>
        <w:keepNext w:val="true"/>
        <w:keepLines w:val="true"/>
        <w:pBdr/>
        <w:bidi w:val="false"/>
        <w:spacing w:after="140" w:before="360"/>
        <w:ind/>
        <w:jc w:val="left"/>
        <w:rPr/>
      </w:pPr>
      <w:r>
        <w:t xml:space="preserve">Core Design Features</w:t>
      </w:r>
      <w:r/>
    </w:p>
    <w:p>
      <w:pPr>
        <w:pStyle w:val="978"/>
        <w:pBdr/>
        <w:bidi w:val="false"/>
        <w:spacing w:after="180" w:before="0" w:line="300" w:lineRule="auto"/>
        <w:ind/>
        <w:jc w:val="left"/>
        <w:rPr/>
      </w:pPr>
      <w:r>
        <w:t xml:space="preserve">The CIR-ACC is designed around five core principles derived from the ACC model, adapted for climate risk management:</w:t>
      </w:r>
      <w:r/>
    </w:p>
    <w:p>
      <w:pPr>
        <w:pStyle w:val="978"/>
        <w:numPr>
          <w:ilvl w:val="0"/>
          <w:numId w:val="1"/>
        </w:numPr>
        <w:pBdr/>
        <w:bidi w:val="false"/>
        <w:spacing w:after="120" w:before="80"/>
        <w:ind/>
        <w:jc w:val="left"/>
        <w:rPr/>
      </w:pPr>
      <w:r>
        <w:rPr>
          <w:b/>
          <w:color w:val="1a2f2a"/>
        </w:rPr>
        <w:t xml:space="preserve">Comprehensive Coverage: </w:t>
      </w:r>
      <w:r>
        <w:t xml:space="preserve">The fund covers all climate-related physical risks to public infrastructure, community assets, and household property, including gradual changes (sea-level rise, coastal erosion) and acute events (flooding, storms, wildfire).</w:t>
      </w:r>
      <w:r/>
    </w:p>
    <w:p>
      <w:pPr>
        <w:pStyle w:val="978"/>
        <w:numPr>
          <w:ilvl w:val="0"/>
          <w:numId w:val="1"/>
        </w:numPr>
        <w:pBdr/>
        <w:bidi w:val="false"/>
        <w:spacing w:after="120" w:before="80"/>
        <w:ind/>
        <w:jc w:val="left"/>
        <w:rPr/>
      </w:pPr>
      <w:r>
        <w:rPr>
          <w:b/>
          <w:color w:val="1a2f2a"/>
        </w:rPr>
        <w:t xml:space="preserve">Community Responsibility: </w:t>
      </w:r>
      <w:r>
        <w:t xml:space="preserve">All property owners and commercial ratepayers contribute through established levy mechanisms, creating a broad risk pool that reduces individual burden and ensures equitable distribution of costs.</w:t>
      </w:r>
      <w:r/>
    </w:p>
    <w:p>
      <w:pPr>
        <w:pStyle w:val="978"/>
        <w:numPr>
          <w:ilvl w:val="0"/>
          <w:numId w:val="1"/>
        </w:numPr>
        <w:pBdr/>
        <w:bidi w:val="false"/>
        <w:spacing w:after="120" w:before="80"/>
        <w:ind/>
        <w:jc w:val="left"/>
        <w:rPr/>
      </w:pPr>
      <w:r>
        <w:rPr>
          <w:b/>
          <w:color w:val="1a2f2a"/>
        </w:rPr>
        <w:t xml:space="preserve">Complete Rehabilitation: </w:t>
      </w:r>
      <w:r>
        <w:t xml:space="preserve">The fund covers not only emergency repair but also long-term resilience building, managed retreat, and ecological restoration — recognising that adaptation is a permanent condition, not a series of isolated responses.</w:t>
      </w:r>
      <w:r/>
    </w:p>
    <w:p>
      <w:pPr>
        <w:pStyle w:val="978"/>
        <w:numPr>
          <w:ilvl w:val="0"/>
          <w:numId w:val="1"/>
        </w:numPr>
        <w:pBdr/>
        <w:bidi w:val="false"/>
        <w:spacing w:after="120" w:before="80"/>
        <w:ind/>
        <w:jc w:val="left"/>
        <w:rPr/>
      </w:pPr>
      <w:r>
        <w:rPr>
          <w:b/>
          <w:color w:val="1a2f2a"/>
        </w:rPr>
        <w:t xml:space="preserve">Administrative Efficiency: </w:t>
      </w:r>
      <w:r>
        <w:t xml:space="preserve">Predetermined eligibility criteria, standardised assessment protocols, and delegated decision-making authority enable rapid disbursement without sacrificing accountability.</w:t>
      </w:r>
      <w:r/>
    </w:p>
    <w:p>
      <w:pPr>
        <w:pStyle w:val="978"/>
        <w:numPr>
          <w:ilvl w:val="0"/>
          <w:numId w:val="1"/>
        </w:numPr>
        <w:pBdr/>
        <w:bidi w:val="false"/>
        <w:spacing w:after="120" w:before="80"/>
        <w:ind/>
        <w:jc w:val="left"/>
        <w:rPr/>
      </w:pPr>
      <w:r>
        <w:rPr>
          <w:b/>
          <w:color w:val="1a2f2a"/>
        </w:rPr>
        <w:t xml:space="preserve">Actuarial Soundness: </w:t>
      </w:r>
      <w:r>
        <w:t xml:space="preserve">Premiums are set using climate risk modelling that annualises expected losses over long time horizons, ensuring the fund remains solvent as event frequency increases.</w:t>
      </w:r>
      <w:r/>
    </w:p>
    <w:p>
      <w:pPr>
        <w:pStyle w:val="980"/>
        <w:keepNext w:val="true"/>
        <w:keepLines w:val="true"/>
        <w:pBdr/>
        <w:bidi w:val="false"/>
        <w:spacing w:after="140" w:before="360"/>
        <w:ind/>
        <w:jc w:val="left"/>
        <w:rPr/>
      </w:pPr>
      <w:r>
        <w:t xml:space="preserve">Funding Model</w:t>
      </w:r>
      <w:r/>
    </w:p>
    <w:p>
      <w:pPr>
        <w:pStyle w:val="978"/>
        <w:pBdr/>
        <w:bidi w:val="false"/>
        <w:spacing w:after="180" w:before="0" w:line="300" w:lineRule="auto"/>
        <w:ind/>
        <w:jc w:val="left"/>
        <w:rPr/>
      </w:pPr>
      <w:r>
        <w:t xml:space="preserve">The proposed funding structure establishes three concurrent revenue streams:</w:t>
      </w:r>
      <w:r/>
    </w:p>
    <w:tbl>
      <w:tblPr>
        <w:tblInd w:w="108" w:type="dxa"/>
        <w:tblW w:w="5000" w:type="pct"/>
        <w:tblCellMar>
          <w:left w:w="108" w:type="dxa"/>
          <w:top w:w="0" w:type="dxa"/>
          <w:right w:w="108" w:type="dxa"/>
          <w:bottom w:w="0" w:type="dxa"/>
        </w:tblCellMar>
        <w:tblBorders/>
        <w:tblLayout w:type="fixed"/>
        <w:tblLook w:val="04A0" w:firstRow="1" w:lastRow="0" w:firstColumn="1" w:lastColumn="0" w:noHBand="0" w:noVBand="1"/>
      </w:tblPr>
      <w:tblGrid>
        <w:gridCol w:w="2632"/>
        <w:gridCol w:w="3009"/>
        <w:gridCol w:w="3385"/>
      </w:tblGrid>
      <w:tr>
        <w:trPr>
          <w:tblHeader/>
        </w:trPr>
        <w:tc>
          <w:tcPr>
            <w:shd w:val="clear" w:color="auto" w:fill="e8f2ec"/>
            <w:tcBorders>
              <w:top w:val="single" w:color="1b5e3b" w:sz="12" w:space="0"/>
              <w:bottom w:val="single" w:color="c8ddd4" w:sz="4" w:space="0"/>
            </w:tcBorders>
            <w:tcW w:w="2632" w:type="dxa"/>
          </w:tcPr>
          <w:p>
            <w:pPr>
              <w:pStyle w:val="978"/>
              <w:pBdr/>
              <w:bidi w:val="false"/>
              <w:spacing w:after="60" w:before="60"/>
              <w:ind/>
              <w:jc w:val="left"/>
              <w:rPr/>
            </w:pPr>
            <w:r>
              <w:rPr>
                <w:b/>
                <w:color w:val="1a2f2a"/>
                <w:sz w:val="20"/>
              </w:rPr>
              <w:t xml:space="preserve">Revenue Stream</w:t>
            </w:r>
            <w:r/>
          </w:p>
        </w:tc>
        <w:tc>
          <w:tcPr>
            <w:shd w:val="clear" w:color="auto" w:fill="e8f2ec"/>
            <w:tcBorders>
              <w:top w:val="single" w:color="1b5e3b" w:sz="12" w:space="0"/>
              <w:bottom w:val="single" w:color="c8ddd4" w:sz="4" w:space="0"/>
            </w:tcBorders>
            <w:tcW w:w="3009" w:type="dxa"/>
          </w:tcPr>
          <w:p>
            <w:pPr>
              <w:pStyle w:val="978"/>
              <w:pBdr/>
              <w:bidi w:val="false"/>
              <w:spacing w:after="60" w:before="60"/>
              <w:ind/>
              <w:jc w:val="left"/>
              <w:rPr/>
            </w:pPr>
            <w:r>
              <w:rPr>
                <w:b/>
                <w:color w:val="1a2f2a"/>
                <w:sz w:val="20"/>
              </w:rPr>
              <w:t xml:space="preserve">Mechanism</w:t>
            </w:r>
            <w:r/>
          </w:p>
        </w:tc>
        <w:tc>
          <w:tcPr>
            <w:shd w:val="clear" w:color="auto" w:fill="e8f2ec"/>
            <w:tcBorders>
              <w:top w:val="single" w:color="1b5e3b" w:sz="12" w:space="0"/>
              <w:bottom w:val="single" w:color="c8ddd4" w:sz="4" w:space="0"/>
            </w:tcBorders>
            <w:tcW w:w="3385" w:type="dxa"/>
          </w:tcPr>
          <w:p>
            <w:pPr>
              <w:pStyle w:val="978"/>
              <w:pBdr/>
              <w:bidi w:val="false"/>
              <w:spacing w:after="60" w:before="60"/>
              <w:ind/>
              <w:jc w:val="left"/>
              <w:rPr/>
            </w:pPr>
            <w:r>
              <w:rPr>
                <w:b/>
                <w:color w:val="1a2f2a"/>
                <w:sz w:val="20"/>
              </w:rPr>
              <w:t xml:space="preserve">Estimated Annual Revenue</w:t>
            </w:r>
            <w:r/>
          </w:p>
        </w:tc>
      </w:tr>
      <w:tr>
        <w:trPr/>
        <w:tc>
          <w:tcPr>
            <w:tcBorders>
              <w:top w:val="single" w:color="c8ddd4" w:sz="4" w:space="0"/>
              <w:bottom w:val="single" w:color="c8ddd4" w:sz="4" w:space="0"/>
            </w:tcBorders>
            <w:tcW w:w="2632" w:type="dxa"/>
          </w:tcPr>
          <w:p>
            <w:pPr>
              <w:pStyle w:val="978"/>
              <w:pBdr/>
              <w:bidi w:val="false"/>
              <w:spacing w:after="40" w:before="40"/>
              <w:ind/>
              <w:jc w:val="left"/>
              <w:rPr/>
            </w:pPr>
            <w:r>
              <w:rPr>
                <w:color w:val="3d5c54"/>
                <w:sz w:val="20"/>
              </w:rPr>
              <w:t xml:space="preserve">Property Insurance Levy</w:t>
            </w:r>
            <w:r/>
          </w:p>
        </w:tc>
        <w:tc>
          <w:tcPr>
            <w:tcBorders>
              <w:top w:val="single" w:color="c8ddd4" w:sz="4" w:space="0"/>
              <w:bottom w:val="single" w:color="c8ddd4" w:sz="4" w:space="0"/>
            </w:tcBorders>
            <w:tcW w:w="3009" w:type="dxa"/>
          </w:tcPr>
          <w:p>
            <w:pPr>
              <w:pStyle w:val="978"/>
              <w:pBdr/>
              <w:bidi w:val="false"/>
              <w:spacing w:after="40" w:before="40"/>
              <w:ind/>
              <w:jc w:val="left"/>
              <w:rPr/>
            </w:pPr>
            <w:r>
              <w:rPr>
                <w:color w:val="3d5c54"/>
                <w:sz w:val="20"/>
              </w:rPr>
              <w:t xml:space="preserve">2.5% levy on all domestic and commercial property insurance premiums; collected by insurers via RBNZ regulatory framework</w:t>
            </w:r>
            <w:r/>
          </w:p>
        </w:tc>
        <w:tc>
          <w:tcPr>
            <w:tcBorders>
              <w:top w:val="single" w:color="c8ddd4" w:sz="4" w:space="0"/>
              <w:bottom w:val="single" w:color="c8ddd4" w:sz="4" w:space="0"/>
            </w:tcBorders>
            <w:tcW w:w="3385" w:type="dxa"/>
          </w:tcPr>
          <w:p>
            <w:pPr>
              <w:pStyle w:val="978"/>
              <w:pBdr/>
              <w:bidi w:val="false"/>
              <w:spacing w:after="40" w:before="40"/>
              <w:ind/>
              <w:jc w:val="left"/>
              <w:rPr/>
            </w:pPr>
            <w:r>
              <w:rPr>
                <w:color w:val="3d5c54"/>
                <w:sz w:val="20"/>
              </w:rPr>
              <w:t xml:space="preserve">$350-450M</w:t>
            </w:r>
            <w:r/>
          </w:p>
        </w:tc>
      </w:tr>
      <w:tr>
        <w:trPr/>
        <w:tc>
          <w:tcPr>
            <w:tcBorders>
              <w:top w:val="single" w:color="c8ddd4" w:sz="4" w:space="0"/>
              <w:bottom w:val="single" w:color="c8ddd4" w:sz="4" w:space="0"/>
            </w:tcBorders>
            <w:tcW w:w="2632" w:type="dxa"/>
          </w:tcPr>
          <w:p>
            <w:pPr>
              <w:pStyle w:val="978"/>
              <w:pBdr/>
              <w:bidi w:val="false"/>
              <w:spacing w:after="40" w:before="40"/>
              <w:ind/>
              <w:jc w:val="left"/>
              <w:rPr/>
            </w:pPr>
            <w:r>
              <w:rPr>
                <w:color w:val="3d5c54"/>
                <w:sz w:val="20"/>
              </w:rPr>
              <w:t xml:space="preserve">Commercial Land Value Levy</w:t>
            </w:r>
            <w:r/>
          </w:p>
        </w:tc>
        <w:tc>
          <w:tcPr>
            <w:tcBorders>
              <w:top w:val="single" w:color="c8ddd4" w:sz="4" w:space="0"/>
              <w:bottom w:val="single" w:color="c8ddd4" w:sz="4" w:space="0"/>
            </w:tcBorders>
            <w:tcW w:w="3009" w:type="dxa"/>
          </w:tcPr>
          <w:p>
            <w:pPr>
              <w:pStyle w:val="978"/>
              <w:pBdr/>
              <w:bidi w:val="false"/>
              <w:spacing w:after="40" w:before="40"/>
              <w:ind/>
              <w:jc w:val="left"/>
              <w:rPr/>
            </w:pPr>
            <w:r>
              <w:rPr>
                <w:color w:val="3d5c54"/>
                <w:sz w:val="20"/>
              </w:rPr>
              <w:t xml:space="preserve">0.3% levy on commercial and industrial rateable land values; collected via council rating systems</w:t>
            </w:r>
            <w:r/>
          </w:p>
        </w:tc>
        <w:tc>
          <w:tcPr>
            <w:tcBorders>
              <w:top w:val="single" w:color="c8ddd4" w:sz="4" w:space="0"/>
              <w:bottom w:val="single" w:color="c8ddd4" w:sz="4" w:space="0"/>
            </w:tcBorders>
            <w:tcW w:w="3385" w:type="dxa"/>
          </w:tcPr>
          <w:p>
            <w:pPr>
              <w:pStyle w:val="978"/>
              <w:pBdr/>
              <w:bidi w:val="false"/>
              <w:spacing w:after="40" w:before="40"/>
              <w:ind/>
              <w:jc w:val="left"/>
              <w:rPr/>
            </w:pPr>
            <w:r>
              <w:rPr>
                <w:color w:val="3d5c54"/>
                <w:sz w:val="20"/>
              </w:rPr>
              <w:t xml:space="preserve">$250-350M</w:t>
            </w:r>
            <w:r/>
          </w:p>
        </w:tc>
      </w:tr>
      <w:tr>
        <w:trPr/>
        <w:tc>
          <w:tcPr>
            <w:tcBorders>
              <w:top w:val="single" w:color="c8ddd4" w:sz="4" w:space="0"/>
              <w:bottom w:val="single" w:color="c8ddd4" w:sz="4" w:space="0"/>
            </w:tcBorders>
            <w:tcW w:w="2632" w:type="dxa"/>
          </w:tcPr>
          <w:p>
            <w:pPr>
              <w:pStyle w:val="978"/>
              <w:pBdr/>
              <w:bidi w:val="false"/>
              <w:spacing w:after="40" w:before="40"/>
              <w:ind/>
              <w:jc w:val="left"/>
              <w:rPr/>
            </w:pPr>
            <w:r>
              <w:rPr>
                <w:color w:val="3d5c54"/>
                <w:sz w:val="20"/>
              </w:rPr>
              <w:t xml:space="preserve">Crown Contribution</w:t>
            </w:r>
            <w:r/>
          </w:p>
        </w:tc>
        <w:tc>
          <w:tcPr>
            <w:tcBorders>
              <w:top w:val="single" w:color="c8ddd4" w:sz="4" w:space="0"/>
              <w:bottom w:val="single" w:color="c8ddd4" w:sz="4" w:space="0"/>
            </w:tcBorders>
            <w:tcW w:w="3009" w:type="dxa"/>
          </w:tcPr>
          <w:p>
            <w:pPr>
              <w:pStyle w:val="978"/>
              <w:pBdr/>
              <w:bidi w:val="false"/>
              <w:spacing w:after="40" w:before="40"/>
              <w:ind/>
              <w:jc w:val="left"/>
              <w:rPr/>
            </w:pPr>
            <w:r>
              <w:rPr>
                <w:color w:val="3d5c54"/>
                <w:sz w:val="20"/>
              </w:rPr>
              <w:t xml:space="preserve">40% of actuarially assessed annual requirement; appropriated in Budget</w:t>
            </w:r>
            <w:r/>
          </w:p>
        </w:tc>
        <w:tc>
          <w:tcPr>
            <w:tcBorders>
              <w:top w:val="single" w:color="c8ddd4" w:sz="4" w:space="0"/>
              <w:bottom w:val="single" w:color="c8ddd4" w:sz="4" w:space="0"/>
            </w:tcBorders>
            <w:tcW w:w="3385" w:type="dxa"/>
          </w:tcPr>
          <w:p>
            <w:pPr>
              <w:pStyle w:val="978"/>
              <w:pBdr/>
              <w:bidi w:val="false"/>
              <w:spacing w:after="40" w:before="40"/>
              <w:ind/>
              <w:jc w:val="left"/>
              <w:rPr/>
            </w:pPr>
            <w:r>
              <w:rPr>
                <w:color w:val="3d5c54"/>
                <w:sz w:val="20"/>
              </w:rPr>
              <w:t xml:space="preserve">$200-400M</w:t>
            </w:r>
            <w:r/>
          </w:p>
        </w:tc>
      </w:tr>
      <w:tr>
        <w:trPr/>
        <w:tc>
          <w:tcPr>
            <w:tcBorders>
              <w:top w:val="single" w:color="c8ddd4" w:sz="4" w:space="0"/>
              <w:bottom w:val="single" w:color="1b5e3b" w:sz="12" w:space="0"/>
            </w:tcBorders>
            <w:tcW w:w="2632" w:type="dxa"/>
          </w:tcPr>
          <w:p>
            <w:pPr>
              <w:pStyle w:val="978"/>
              <w:pBdr/>
              <w:bidi w:val="false"/>
              <w:spacing w:after="40" w:before="40"/>
              <w:ind/>
              <w:jc w:val="left"/>
              <w:rPr/>
            </w:pPr>
            <w:r>
              <w:rPr>
                <w:color w:val="3d5c54"/>
                <w:sz w:val="20"/>
              </w:rPr>
              <w:t xml:space="preserve">Total Annual Fund</w:t>
            </w:r>
            <w:r/>
          </w:p>
        </w:tc>
        <w:tc>
          <w:tcPr>
            <w:tcBorders>
              <w:top w:val="single" w:color="c8ddd4" w:sz="4" w:space="0"/>
              <w:bottom w:val="single" w:color="1b5e3b" w:sz="12" w:space="0"/>
            </w:tcBorders>
            <w:tcW w:w="3009" w:type="dxa"/>
          </w:tcPr>
          <w:p>
            <w:pPr>
              <w:pStyle w:val="978"/>
              <w:pBdr/>
              <w:bidi w:val="false"/>
              <w:spacing w:after="40" w:before="40"/>
              <w:ind/>
              <w:jc w:val="left"/>
              <w:rPr/>
            </w:pPr>
            <w:r/>
            <w:r/>
          </w:p>
        </w:tc>
        <w:tc>
          <w:tcPr>
            <w:tcBorders>
              <w:top w:val="single" w:color="c8ddd4" w:sz="4" w:space="0"/>
              <w:bottom w:val="single" w:color="1b5e3b" w:sz="12" w:space="0"/>
            </w:tcBorders>
            <w:tcW w:w="3385" w:type="dxa"/>
          </w:tcPr>
          <w:p>
            <w:pPr>
              <w:pStyle w:val="978"/>
              <w:pBdr/>
              <w:bidi w:val="false"/>
              <w:spacing w:after="40" w:before="40"/>
              <w:ind/>
              <w:jc w:val="left"/>
              <w:rPr/>
            </w:pPr>
            <w:r>
              <w:rPr>
                <w:color w:val="3d5c54"/>
                <w:sz w:val="20"/>
              </w:rPr>
              <w:t xml:space="preserve">$800M-$1.2B</w:t>
            </w:r>
            <w:r/>
          </w:p>
        </w:tc>
      </w:tr>
    </w:tbl>
    <w:p>
      <w:pPr>
        <w:pStyle w:val="978"/>
        <w:pBdr/>
        <w:bidi w:val="false"/>
        <w:spacing w:after="180" w:before="0" w:line="300" w:lineRule="auto"/>
        <w:ind/>
        <w:jc w:val="left"/>
        <w:rPr/>
      </w:pPr>
      <w:r>
        <w:t xml:space="preserve">This model generates an estimated base fund of $800 million to $1.2 billion annually, escalating with property value g</w:t>
      </w:r>
      <w:r>
        <w:t xml:space="preserve">rowth and insurance premium increases. The actuarial approach means funds are available immediately when events occur, eliminating the current delays associated with emergency appropriations and post-event negotiations between central and local government.</w:t>
      </w:r>
      <w:r/>
    </w:p>
    <w:p>
      <w:pPr>
        <w:pStyle w:val="979"/>
        <w:keepNext w:val="true"/>
        <w:keepLines w:val="true"/>
        <w:pBdr/>
        <w:bidi w:val="false"/>
        <w:spacing w:after="200" w:before="500"/>
        <w:ind/>
        <w:jc w:val="left"/>
        <w:rPr/>
      </w:pPr>
      <w:r>
        <w:t xml:space="preserve">Phase 1: Foundation and Legislative Development (2026-2027)</w:t>
      </w:r>
      <w:bookmarkStart w:id="3" w:name="_Toc003"/>
      <w:r/>
      <w:bookmarkEnd w:id="3"/>
      <w:r/>
      <w:r/>
    </w:p>
    <w:p>
      <w:pPr>
        <w:pStyle w:val="978"/>
        <w:pBdr>
          <w:left w:val="single" w:color="2e7d6f" w:sz="24" w:space="8"/>
        </w:pBdr>
        <w:bidi w:val="false"/>
        <w:spacing w:after="240" w:before="120"/>
        <w:ind w:left="360"/>
        <w:jc w:val="left"/>
        <w:rPr/>
      </w:pPr>
      <w:r>
        <w:rPr>
          <w:b/>
          <w:color w:val="2e7d6f"/>
          <w:sz w:val="24"/>
        </w:rPr>
        <w:t xml:space="preserve">Q3 2026 - Q4 2027</w:t>
      </w:r>
      <w:r>
        <w:rPr>
          <w:color w:val="3d5c54"/>
        </w:rPr>
        <w:t xml:space="preserve">  |  Local government advocacy, policy development, and legislative drafting</w:t>
      </w:r>
      <w:r/>
    </w:p>
    <w:p>
      <w:pPr>
        <w:pStyle w:val="980"/>
        <w:keepNext w:val="true"/>
        <w:keepLines w:val="true"/>
        <w:pBdr/>
        <w:bidi w:val="false"/>
        <w:spacing w:after="140" w:before="360"/>
        <w:ind/>
        <w:jc w:val="left"/>
        <w:rPr/>
      </w:pPr>
      <w:r>
        <w:t xml:space="preserve">Council Resolutions and Lobbying (Q3-Q4 2026)</w:t>
      </w:r>
      <w:r/>
    </w:p>
    <w:p>
      <w:pPr>
        <w:pStyle w:val="978"/>
        <w:pBdr/>
        <w:bidi w:val="false"/>
        <w:spacing w:after="180" w:before="0" w:line="300" w:lineRule="auto"/>
        <w:ind/>
        <w:jc w:val="left"/>
        <w:rPr/>
      </w:pPr>
      <w:r>
        <w:t xml:space="preserve">The implementation begins at the local government level. </w:t>
      </w:r>
      <w:r>
        <w:rPr>
          <w:lang w:val="en-US"/>
        </w:rPr>
        <w:t xml:space="preserve">Local, Regional, District  and Regional </w:t>
      </w:r>
      <w:r>
        <w:t xml:space="preserve">Dis</w:t>
      </w:r>
      <w:r>
        <w:t xml:space="preserve">trict Council</w:t>
      </w:r>
      <w:r>
        <w:rPr>
          <w:lang w:val="en-US"/>
        </w:rPr>
        <w:t xml:space="preserve">s </w:t>
      </w:r>
      <w:r>
        <w:t xml:space="preserve"> formally adopt resolutions calling for central government action. These resolutions specify the ACC-type model as the preferred mechanism and commit council resources to supporting the policy development process.</w:t>
      </w:r>
      <w:r/>
    </w:p>
    <w:p>
      <w:pPr>
        <w:pStyle w:val="978"/>
        <w:pBdr/>
        <w:bidi w:val="false"/>
        <w:spacing w:after="60" w:before="60"/>
        <w:ind w:hanging="360" w:left="720"/>
        <w:jc w:val="left"/>
        <w:rPr/>
      </w:pPr>
      <w:r>
        <w:rPr>
          <w:color w:val="4a9b8e"/>
        </w:rPr>
        <w:t xml:space="preserve">•  </w:t>
      </w:r>
      <w:r>
        <w:rPr>
          <w:lang w:val="en-US"/>
        </w:rPr>
        <w:t xml:space="preserve">(X) </w:t>
      </w:r>
      <w:r>
        <w:t xml:space="preserve"> District Council Annual Plan 2026/2027 formally resolves to lobby for CIR-ACC legislation through Local Government New Zealand (LGNZ) and directly to the Minister for Emergency Management and the Minister for Climate Change</w:t>
      </w:r>
      <w:r/>
    </w:p>
    <w:p>
      <w:pPr>
        <w:pStyle w:val="978"/>
        <w:pBdr/>
        <w:bidi w:val="false"/>
        <w:spacing w:after="60" w:before="60"/>
        <w:ind w:hanging="360" w:left="720"/>
        <w:jc w:val="left"/>
        <w:rPr/>
      </w:pPr>
      <w:r>
        <w:rPr>
          <w:color w:val="4a9b8e"/>
        </w:rPr>
        <w:t xml:space="preserve">•  </w:t>
      </w:r>
      <w:r>
        <w:t xml:space="preserve">Regional councils, unitary authorities, and metropolitan councils in high-risk areas (Northland, Hawke's Bay, West Coast, Canterbury) adopt parallel resolutions</w:t>
      </w:r>
      <w:r/>
    </w:p>
    <w:p>
      <w:pPr>
        <w:pStyle w:val="978"/>
        <w:pBdr/>
        <w:bidi w:val="false"/>
        <w:spacing w:after="60" w:before="60"/>
        <w:ind w:hanging="360" w:left="720"/>
        <w:jc w:val="left"/>
        <w:rPr/>
      </w:pPr>
      <w:r>
        <w:rPr>
          <w:color w:val="4a9b8e"/>
        </w:rPr>
        <w:t xml:space="preserve">•  </w:t>
      </w:r>
      <w:r>
        <w:t xml:space="preserve">LGNZ Climate Change and Emergency Management committees develop a consolidated national position paper endorsing the ACC-type mechanism</w:t>
      </w:r>
      <w:r/>
    </w:p>
    <w:p>
      <w:pPr>
        <w:pStyle w:val="978"/>
        <w:pBdr/>
        <w:bidi w:val="false"/>
        <w:spacing w:after="60" w:before="60"/>
        <w:ind w:hanging="360" w:left="720"/>
        <w:jc w:val="left"/>
        <w:rPr/>
      </w:pPr>
      <w:r>
        <w:rPr>
          <w:color w:val="4a9b8e"/>
        </w:rPr>
        <w:t xml:space="preserve">•  </w:t>
      </w:r>
      <w:r>
        <w:t xml:space="preserve">Formal engagement with the Climate Change Commission to incorporate the fund proposal into the National Adaptation Framework</w:t>
      </w:r>
      <w:r/>
    </w:p>
    <w:p>
      <w:pPr>
        <w:pStyle w:val="980"/>
        <w:keepNext w:val="true"/>
        <w:keepLines w:val="true"/>
        <w:pBdr/>
        <w:bidi w:val="false"/>
        <w:spacing w:after="140" w:before="360"/>
        <w:ind/>
        <w:jc w:val="left"/>
        <w:rPr/>
      </w:pPr>
      <w:r>
        <w:t xml:space="preserve">Policy Development and Stakeholder Engagement (Q1-Q3 2027)</w:t>
      </w:r>
      <w:r/>
    </w:p>
    <w:p>
      <w:pPr>
        <w:pStyle w:val="978"/>
        <w:pBdr/>
        <w:bidi w:val="false"/>
        <w:spacing w:after="180" w:before="0" w:line="300" w:lineRule="auto"/>
        <w:ind/>
        <w:jc w:val="left"/>
        <w:rPr/>
      </w:pPr>
      <w:r>
        <w:t xml:space="preserve">Central government agencies, led by the National Emergency Management Agency (NE</w:t>
      </w:r>
      <w:r>
        <w:t xml:space="preserve">MA) and the Ministry for the Environment, establish an interdepartmental working group to develop detailed policy settings. This process involves extensive consultation with local government, iwi/Maori, the insurance sector, and climate adaptation experts.</w:t>
      </w:r>
      <w:r/>
    </w:p>
    <w:p>
      <w:pPr>
        <w:pStyle w:val="978"/>
        <w:pBdr/>
        <w:bidi w:val="false"/>
        <w:spacing w:after="60" w:before="60"/>
        <w:ind w:hanging="360" w:left="720"/>
        <w:jc w:val="left"/>
        <w:rPr/>
      </w:pPr>
      <w:r>
        <w:rPr>
          <w:color w:val="4a9b8e"/>
        </w:rPr>
        <w:t xml:space="preserve">•  </w:t>
      </w:r>
      <w:r>
        <w:t xml:space="preserve">NEMA convenes the CIR-ACC Policy Working Group with representatives from Treasury, MfE, MBIE, DIA, and Te Puni Kokiri</w:t>
      </w:r>
      <w:r/>
    </w:p>
    <w:p>
      <w:pPr>
        <w:pStyle w:val="978"/>
        <w:pBdr/>
        <w:bidi w:val="false"/>
        <w:spacing w:after="60" w:before="60"/>
        <w:ind w:hanging="360" w:left="720"/>
        <w:jc w:val="left"/>
        <w:rPr/>
      </w:pPr>
      <w:r>
        <w:rPr>
          <w:color w:val="4a9b8e"/>
        </w:rPr>
        <w:t xml:space="preserve">•  </w:t>
      </w:r>
      <w:r>
        <w:t xml:space="preserve">Reference group established including LGNZ, Insurance Council of New Zealand, Infrastructure Commission, and Climate Change Commission</w:t>
      </w:r>
      <w:r/>
    </w:p>
    <w:p>
      <w:pPr>
        <w:pStyle w:val="978"/>
        <w:pBdr/>
        <w:bidi w:val="false"/>
        <w:spacing w:after="60" w:before="60"/>
        <w:ind w:hanging="360" w:left="720"/>
        <w:jc w:val="left"/>
        <w:rPr/>
      </w:pPr>
      <w:r>
        <w:rPr>
          <w:color w:val="4a9b8e"/>
        </w:rPr>
        <w:t xml:space="preserve">•  </w:t>
      </w:r>
      <w:r>
        <w:t xml:space="preserve">Iwi/Maori advisory panel convened to ensure Treaty-compliant governance structures and equitable access mechanisms</w:t>
      </w:r>
      <w:r/>
    </w:p>
    <w:p>
      <w:pPr>
        <w:pStyle w:val="978"/>
        <w:pBdr/>
        <w:bidi w:val="false"/>
        <w:spacing w:after="60" w:before="60"/>
        <w:ind w:hanging="360" w:left="720"/>
        <w:jc w:val="left"/>
        <w:rPr/>
      </w:pPr>
      <w:r>
        <w:rPr>
          <w:color w:val="4a9b8e"/>
        </w:rPr>
        <w:t xml:space="preserve">•  </w:t>
      </w:r>
      <w:r>
        <w:t xml:space="preserve">Public consultation on high-level design principles, including levy rates, eligibility criteria, and governance arrangements</w:t>
      </w:r>
      <w:r/>
    </w:p>
    <w:p>
      <w:pPr>
        <w:pStyle w:val="980"/>
        <w:keepNext w:val="true"/>
        <w:keepLines w:val="true"/>
        <w:pBdr/>
        <w:bidi w:val="false"/>
        <w:spacing w:after="140" w:before="360"/>
        <w:ind/>
        <w:jc w:val="left"/>
        <w:rPr/>
      </w:pPr>
      <w:r>
        <w:t xml:space="preserve">Legislative Drafting (Q2-Q4 2027)</w:t>
      </w:r>
      <w:r/>
    </w:p>
    <w:p>
      <w:pPr>
        <w:pStyle w:val="978"/>
        <w:pBdr/>
        <w:bidi w:val="false"/>
        <w:spacing w:after="180" w:before="0" w:line="300" w:lineRule="auto"/>
        <w:ind/>
        <w:jc w:val="left"/>
        <w:rPr/>
      </w:pPr>
      <w:r>
        <w:t xml:space="preserve">The Parliamentary Counsel's Office drafts the Climate Impact and Resilience Act, drawing on the ACC Act 2001, the Earthquake Commission Act 1993, and international precedents including the UK's Flood Re and Australia's proposed Cyclone Reinsurance Pool.</w:t>
      </w:r>
      <w:r/>
    </w:p>
    <w:p>
      <w:pPr>
        <w:pStyle w:val="978"/>
        <w:pBdr/>
        <w:bidi w:val="false"/>
        <w:spacing w:after="60" w:before="60"/>
        <w:ind w:hanging="360" w:left="720"/>
        <w:jc w:val="left"/>
        <w:rPr/>
      </w:pPr>
      <w:r>
        <w:rPr>
          <w:color w:val="4a9b8e"/>
        </w:rPr>
        <w:t xml:space="preserve">•  </w:t>
      </w:r>
      <w:r>
        <w:t xml:space="preserve">Draft legislation prepared establishing the CIR-ACC as an independent Crown entity with statutory objectives and operational independence</w:t>
      </w:r>
      <w:r/>
    </w:p>
    <w:p>
      <w:pPr>
        <w:pStyle w:val="978"/>
        <w:pBdr/>
        <w:bidi w:val="false"/>
        <w:spacing w:after="60" w:before="60"/>
        <w:ind w:hanging="360" w:left="720"/>
        <w:jc w:val="left"/>
        <w:rPr/>
      </w:pPr>
      <w:r>
        <w:rPr>
          <w:color w:val="4a9b8e"/>
        </w:rPr>
        <w:t xml:space="preserve">•  </w:t>
      </w:r>
      <w:r>
        <w:t xml:space="preserve">Levy collection mechanisms integrated with existing rating systems (via councils) and insurance regulatory frameworks (via RBNZ/FMA)</w:t>
      </w:r>
      <w:r/>
    </w:p>
    <w:p>
      <w:pPr>
        <w:pStyle w:val="978"/>
        <w:pBdr/>
        <w:bidi w:val="false"/>
        <w:spacing w:after="60" w:before="60"/>
        <w:ind w:hanging="360" w:left="720"/>
        <w:jc w:val="left"/>
        <w:rPr/>
      </w:pPr>
      <w:r>
        <w:rPr>
          <w:color w:val="4a9b8e"/>
        </w:rPr>
        <w:t xml:space="preserve">•  </w:t>
      </w:r>
      <w:r>
        <w:t xml:space="preserve">Eligibility criteria and access protocols codified, drawing on the National Policy Statement for Natural Hazards 2025</w:t>
      </w:r>
      <w:r/>
    </w:p>
    <w:p>
      <w:pPr>
        <w:pStyle w:val="978"/>
        <w:pBdr/>
        <w:bidi w:val="false"/>
        <w:spacing w:after="60" w:before="60"/>
        <w:ind w:hanging="360" w:left="720"/>
        <w:jc w:val="left"/>
        <w:rPr/>
      </w:pPr>
      <w:r>
        <w:rPr>
          <w:color w:val="4a9b8e"/>
        </w:rPr>
        <w:t xml:space="preserve">•  </w:t>
      </w:r>
      <w:r>
        <w:t xml:space="preserve">Governance framework established with independent board, Crown appointees, local government nominees, and iwi/Maori representation</w:t>
      </w:r>
      <w:r/>
    </w:p>
    <w:tbl>
      <w:tblPr>
        <w:tblInd w:w="108" w:type="dxa"/>
        <w:tblW w:w="5000" w:type="pct"/>
        <w:tblCellMar>
          <w:left w:w="108" w:type="dxa"/>
          <w:top w:w="0" w:type="dxa"/>
          <w:right w:w="108" w:type="dxa"/>
          <w:bottom w:w="0" w:type="dxa"/>
        </w:tblCellMar>
        <w:tblBorders/>
        <w:tblLayout w:type="fixed"/>
        <w:tblLook w:val="04A0" w:firstRow="1" w:lastRow="0" w:firstColumn="1" w:lastColumn="0" w:noHBand="0" w:noVBand="1"/>
      </w:tblPr>
      <w:tblGrid>
        <w:gridCol w:w="1879"/>
        <w:gridCol w:w="7146"/>
      </w:tblGrid>
      <w:tr>
        <w:trPr>
          <w:tblHeader/>
        </w:trPr>
        <w:tc>
          <w:tcPr>
            <w:shd w:val="clear" w:color="auto" w:fill="e8f2ec"/>
            <w:tcBorders>
              <w:top w:val="single" w:color="2e7d6f" w:sz="8" w:space="0"/>
              <w:bottom w:val="single" w:color="c8ddd4" w:sz="2" w:space="0"/>
            </w:tcBorders>
            <w:tcW w:w="1879" w:type="dxa"/>
          </w:tcPr>
          <w:p>
            <w:pPr>
              <w:pStyle w:val="978"/>
              <w:pBdr/>
              <w:bidi w:val="false"/>
              <w:spacing w:after="60" w:before="60"/>
              <w:ind/>
              <w:jc w:val="left"/>
              <w:rPr/>
            </w:pPr>
            <w:r>
              <w:rPr>
                <w:b/>
                <w:color w:val="1a2f2a"/>
                <w:sz w:val="20"/>
              </w:rPr>
              <w:t xml:space="preserve">Period</w:t>
            </w:r>
            <w:r/>
          </w:p>
        </w:tc>
        <w:tc>
          <w:tcPr>
            <w:shd w:val="clear" w:color="auto" w:fill="e8f2ec"/>
            <w:tcBorders>
              <w:top w:val="single" w:color="2e7d6f" w:sz="8" w:space="0"/>
              <w:bottom w:val="single" w:color="c8ddd4" w:sz="2" w:space="0"/>
            </w:tcBorders>
            <w:tcW w:w="7146" w:type="dxa"/>
          </w:tcPr>
          <w:p>
            <w:pPr>
              <w:pStyle w:val="978"/>
              <w:pBdr/>
              <w:bidi w:val="false"/>
              <w:spacing w:after="60" w:before="60"/>
              <w:ind/>
              <w:jc w:val="left"/>
              <w:rPr/>
            </w:pPr>
            <w:r>
              <w:rPr>
                <w:b/>
                <w:color w:val="1a2f2a"/>
                <w:sz w:val="20"/>
              </w:rPr>
              <w:t xml:space="preserve">Key Milestone</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Jul 2026</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TDC Annual Plan adoption; formal resolution to lobby for CIR-ACC</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Aug 2026</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LGNZ position paper development begins; regional council resolutions</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Oct 2026</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Formal approaches to Ministers for Climate Change and Emergency Management</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Feb 2027</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NEMA-led Policy Working Group convened; terms of reference agreed</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Mar 2027</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Iwi/Maori advisory panel and sector reference groups established</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May 2027</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Public consultation on design principles (8-week period)</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Jul 2027</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Policy recommendations to Cabinet; legislative drafting instructions issued</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Sep 2027</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Draft Climate Impact and Resilience Act completed</w:t>
            </w:r>
            <w:r/>
          </w:p>
        </w:tc>
      </w:tr>
      <w:tr>
        <w:trPr/>
        <w:tc>
          <w:tcPr>
            <w:tcBorders>
              <w:top w:val="single" w:color="c8ddd4" w:sz="2" w:space="0"/>
              <w:bottom w:val="single" w:color="2e7d6f" w:sz="8" w:space="0"/>
            </w:tcBorders>
            <w:tcW w:w="1879" w:type="dxa"/>
          </w:tcPr>
          <w:p>
            <w:pPr>
              <w:pStyle w:val="978"/>
              <w:pBdr/>
              <w:bidi w:val="false"/>
              <w:spacing w:after="40" w:before="40"/>
              <w:ind/>
              <w:jc w:val="left"/>
              <w:rPr/>
            </w:pPr>
            <w:r>
              <w:rPr>
                <w:b/>
                <w:color w:val="3d5c54"/>
                <w:sz w:val="20"/>
              </w:rPr>
              <w:t xml:space="preserve">Nov 2027</w:t>
            </w:r>
            <w:r/>
          </w:p>
        </w:tc>
        <w:tc>
          <w:tcPr>
            <w:tcBorders>
              <w:top w:val="single" w:color="c8ddd4" w:sz="2" w:space="0"/>
              <w:bottom w:val="single" w:color="2e7d6f" w:sz="8" w:space="0"/>
            </w:tcBorders>
            <w:tcW w:w="7146" w:type="dxa"/>
          </w:tcPr>
          <w:p>
            <w:pPr>
              <w:pStyle w:val="978"/>
              <w:pBdr/>
              <w:bidi w:val="false"/>
              <w:spacing w:after="40" w:before="40"/>
              <w:ind/>
              <w:jc w:val="left"/>
              <w:rPr/>
            </w:pPr>
            <w:r>
              <w:rPr>
                <w:color w:val="3d5c54"/>
                <w:sz w:val="20"/>
              </w:rPr>
              <w:t xml:space="preserve">Cabinet approval to introduce legislation; Regulatory Impact Statement published</w:t>
            </w:r>
            <w:r/>
          </w:p>
        </w:tc>
      </w:tr>
    </w:tbl>
    <w:p>
      <w:pPr>
        <w:pStyle w:val="979"/>
        <w:keepNext w:val="true"/>
        <w:keepLines w:val="true"/>
        <w:pBdr/>
        <w:bidi w:val="false"/>
        <w:spacing w:after="200" w:before="500"/>
        <w:ind/>
        <w:jc w:val="left"/>
        <w:rPr/>
      </w:pPr>
      <w:r>
        <w:t xml:space="preserve">Phase 2: Parliamentary Process and Establishment (2027-2028)</w:t>
      </w:r>
      <w:bookmarkStart w:id="4" w:name="_Toc004"/>
      <w:r/>
      <w:bookmarkEnd w:id="4"/>
      <w:r/>
      <w:r/>
    </w:p>
    <w:p>
      <w:pPr>
        <w:pStyle w:val="978"/>
        <w:pBdr>
          <w:left w:val="single" w:color="2e7d6f" w:sz="24" w:space="8"/>
        </w:pBdr>
        <w:bidi w:val="false"/>
        <w:spacing w:after="240" w:before="120"/>
        <w:ind w:left="360"/>
        <w:jc w:val="left"/>
        <w:rPr/>
      </w:pPr>
      <w:r>
        <w:rPr>
          <w:b/>
          <w:color w:val="2e7d6f"/>
          <w:sz w:val="24"/>
        </w:rPr>
        <w:t xml:space="preserve">Q4 2027 - Q4 2028</w:t>
      </w:r>
      <w:r>
        <w:rPr>
          <w:color w:val="3d5c54"/>
        </w:rPr>
        <w:t xml:space="preserve">  |  Legislative passage, entity establishment, and systems development</w:t>
      </w:r>
      <w:r/>
    </w:p>
    <w:p>
      <w:pPr>
        <w:pStyle w:val="980"/>
        <w:keepNext w:val="true"/>
        <w:keepLines w:val="true"/>
        <w:pBdr/>
        <w:bidi w:val="false"/>
        <w:spacing w:after="140" w:before="360"/>
        <w:ind/>
        <w:jc w:val="left"/>
        <w:rPr/>
      </w:pPr>
      <w:r>
        <w:t xml:space="preserve">Parliamentary Process (Q4 2027 - Q3 2028)</w:t>
      </w:r>
      <w:r/>
    </w:p>
    <w:p>
      <w:pPr>
        <w:pStyle w:val="978"/>
        <w:pBdr/>
        <w:bidi w:val="false"/>
        <w:spacing w:after="180" w:before="0" w:line="300" w:lineRule="auto"/>
        <w:ind/>
        <w:jc w:val="left"/>
        <w:rPr/>
      </w:pPr>
      <w:r>
        <w:t xml:space="preserve">The Climate Impact and Resilience Bill p</w:t>
      </w:r>
      <w:r>
        <w:t xml:space="preserve">rogresses through the full parliamentary process, including select committee scrutiny and public submissions. Given the cross-party consensus on climate adaptation evidenced in the National Adaptation Framework, the bill is treated as priority legislation.</w:t>
      </w:r>
      <w:r/>
    </w:p>
    <w:p>
      <w:pPr>
        <w:pStyle w:val="978"/>
        <w:pBdr/>
        <w:bidi w:val="false"/>
        <w:spacing w:after="60" w:before="60"/>
        <w:ind w:hanging="360" w:left="720"/>
        <w:jc w:val="left"/>
        <w:rPr/>
      </w:pPr>
      <w:r>
        <w:rPr>
          <w:color w:val="4a9b8e"/>
        </w:rPr>
        <w:t xml:space="preserve">•  </w:t>
      </w:r>
      <w:r>
        <w:t xml:space="preserve">Bill introduced to Parliament with first reading debate (December 2027)</w:t>
      </w:r>
      <w:r/>
    </w:p>
    <w:p>
      <w:pPr>
        <w:pStyle w:val="978"/>
        <w:pBdr/>
        <w:bidi w:val="false"/>
        <w:spacing w:after="60" w:before="60"/>
        <w:ind w:hanging="360" w:left="720"/>
        <w:jc w:val="left"/>
        <w:rPr/>
      </w:pPr>
      <w:r>
        <w:rPr>
          <w:color w:val="4a9b8e"/>
        </w:rPr>
        <w:t xml:space="preserve">•  </w:t>
      </w:r>
      <w:r>
        <w:t xml:space="preserve">Select committee inquiry with nationwide hearings (February-April 2028)</w:t>
      </w:r>
      <w:r/>
    </w:p>
    <w:p>
      <w:pPr>
        <w:pStyle w:val="978"/>
        <w:pBdr/>
        <w:bidi w:val="false"/>
        <w:spacing w:after="60" w:before="60"/>
        <w:ind w:hanging="360" w:left="720"/>
        <w:jc w:val="left"/>
        <w:rPr/>
      </w:pPr>
      <w:r>
        <w:rPr>
          <w:color w:val="4a9b8e"/>
        </w:rPr>
        <w:t xml:space="preserve">•  </w:t>
      </w:r>
      <w:r>
        <w:t xml:space="preserve">Submissions received from all 78 local authorities, iwi entities, insurance sector, infrastructure providers, and community organisations</w:t>
      </w:r>
      <w:r/>
    </w:p>
    <w:p>
      <w:pPr>
        <w:pStyle w:val="978"/>
        <w:pBdr/>
        <w:bidi w:val="false"/>
        <w:spacing w:after="60" w:before="60"/>
        <w:ind w:hanging="360" w:left="720"/>
        <w:jc w:val="left"/>
        <w:rPr/>
      </w:pPr>
      <w:r>
        <w:rPr>
          <w:color w:val="4a9b8e"/>
        </w:rPr>
        <w:t xml:space="preserve">•  </w:t>
      </w:r>
      <w:r>
        <w:t xml:space="preserve">Supplementary order papers addressing select committee recommendations (June 2028)</w:t>
      </w:r>
      <w:r/>
    </w:p>
    <w:p>
      <w:pPr>
        <w:pStyle w:val="978"/>
        <w:pBdr/>
        <w:bidi w:val="false"/>
        <w:spacing w:after="60" w:before="60"/>
        <w:ind w:hanging="360" w:left="720"/>
        <w:jc w:val="left"/>
        <w:rPr/>
      </w:pPr>
      <w:r>
        <w:rPr>
          <w:color w:val="4a9b8e"/>
        </w:rPr>
        <w:t xml:space="preserve">•  </w:t>
      </w:r>
      <w:r>
        <w:t xml:space="preserve">Second and third readings; Royal Assent by September 2028</w:t>
      </w:r>
      <w:r/>
    </w:p>
    <w:p>
      <w:pPr>
        <w:pStyle w:val="980"/>
        <w:keepNext w:val="true"/>
        <w:keepLines w:val="true"/>
        <w:pBdr/>
        <w:bidi w:val="false"/>
        <w:spacing w:after="140" w:before="360"/>
        <w:ind/>
        <w:jc w:val="left"/>
        <w:rPr/>
      </w:pPr>
      <w:r>
        <w:t xml:space="preserve">Entity Establishment (Q2-Q4 2028)</w:t>
      </w:r>
      <w:r/>
    </w:p>
    <w:p>
      <w:pPr>
        <w:pStyle w:val="978"/>
        <w:pBdr/>
        <w:bidi w:val="false"/>
        <w:spacing w:after="180" w:before="0" w:line="300" w:lineRule="auto"/>
        <w:ind/>
        <w:jc w:val="left"/>
        <w:rPr/>
      </w:pPr>
      <w:r>
        <w:t xml:space="preserve">Concurrently with the legislative process, the new entity is incorporated and key appointments made to enable rapid operationalisation following Royal Assent.</w:t>
      </w:r>
      <w:r/>
    </w:p>
    <w:p>
      <w:pPr>
        <w:pStyle w:val="978"/>
        <w:pBdr/>
        <w:bidi w:val="false"/>
        <w:spacing w:after="60" w:before="60"/>
        <w:ind w:hanging="360" w:left="720"/>
        <w:jc w:val="left"/>
        <w:rPr/>
      </w:pPr>
      <w:r>
        <w:rPr>
          <w:color w:val="4a9b8e"/>
        </w:rPr>
        <w:t xml:space="preserve">•  </w:t>
      </w:r>
      <w:r>
        <w:t xml:space="preserve">CIR-ACC incorporated as independent Crown entity (March 2028)</w:t>
      </w:r>
      <w:r/>
    </w:p>
    <w:p>
      <w:pPr>
        <w:pStyle w:val="978"/>
        <w:pBdr/>
        <w:bidi w:val="false"/>
        <w:spacing w:after="60" w:before="60"/>
        <w:ind w:hanging="360" w:left="720"/>
        <w:jc w:val="left"/>
        <w:rPr/>
      </w:pPr>
      <w:r>
        <w:rPr>
          <w:color w:val="4a9b8e"/>
        </w:rPr>
        <w:t xml:space="preserve">•  </w:t>
      </w:r>
      <w:r>
        <w:t xml:space="preserve">Independent board appointed: 7 members including chair, with expertise in climate science, actuarial assessment, local government, infrastructure, Maori governance, and risk management</w:t>
      </w:r>
      <w:r/>
    </w:p>
    <w:p>
      <w:pPr>
        <w:pStyle w:val="978"/>
        <w:pBdr/>
        <w:bidi w:val="false"/>
        <w:spacing w:after="60" w:before="60"/>
        <w:ind w:hanging="360" w:left="720"/>
        <w:jc w:val="left"/>
        <w:rPr/>
      </w:pPr>
      <w:r>
        <w:rPr>
          <w:color w:val="4a9b8e"/>
        </w:rPr>
        <w:t xml:space="preserve">•  </w:t>
      </w:r>
      <w:r>
        <w:t xml:space="preserve">Chief Executive recruited and appointed (May 2028)</w:t>
      </w:r>
      <w:r/>
    </w:p>
    <w:p>
      <w:pPr>
        <w:pStyle w:val="978"/>
        <w:pBdr/>
        <w:bidi w:val="false"/>
        <w:spacing w:after="60" w:before="60"/>
        <w:ind w:hanging="360" w:left="720"/>
        <w:jc w:val="left"/>
        <w:rPr/>
      </w:pPr>
      <w:r>
        <w:rPr>
          <w:color w:val="4a9b8e"/>
        </w:rPr>
        <w:t xml:space="preserve">•  </w:t>
      </w:r>
      <w:r>
        <w:t xml:space="preserve">Initial office establishment in Wellington with regional liaison teams</w:t>
      </w:r>
      <w:r/>
    </w:p>
    <w:p>
      <w:pPr>
        <w:pStyle w:val="978"/>
        <w:pBdr/>
        <w:bidi w:val="false"/>
        <w:spacing w:after="60" w:before="60"/>
        <w:ind w:hanging="360" w:left="720"/>
        <w:jc w:val="left"/>
        <w:rPr/>
      </w:pPr>
      <w:r>
        <w:rPr>
          <w:color w:val="4a9b8e"/>
        </w:rPr>
        <w:t xml:space="preserve">•  </w:t>
      </w:r>
      <w:r>
        <w:t xml:space="preserve">Memoranda of understanding executed with LGNZ, Insurance Council, EQC, and key government agencies</w:t>
      </w:r>
      <w:r/>
    </w:p>
    <w:p>
      <w:pPr>
        <w:pStyle w:val="980"/>
        <w:keepNext w:val="true"/>
        <w:keepLines w:val="true"/>
        <w:pBdr/>
        <w:bidi w:val="false"/>
        <w:spacing w:after="140" w:before="360"/>
        <w:ind/>
        <w:jc w:val="left"/>
        <w:rPr/>
      </w:pPr>
      <w:r>
        <w:t xml:space="preserve">Systems and Capability Development (Q3-Q4 2028)</w:t>
      </w:r>
      <w:r/>
    </w:p>
    <w:p>
      <w:pPr>
        <w:pStyle w:val="978"/>
        <w:pBdr/>
        <w:bidi w:val="false"/>
        <w:spacing w:after="60" w:before="60"/>
        <w:ind w:hanging="360" w:left="720"/>
        <w:jc w:val="left"/>
        <w:rPr/>
      </w:pPr>
      <w:r>
        <w:rPr>
          <w:color w:val="4a9b8e"/>
        </w:rPr>
        <w:t xml:space="preserve">•  </w:t>
      </w:r>
      <w:r>
        <w:t xml:space="preserve">Actuarial model development: partnership with ACC's actuarial team and international reinsurance specialists</w:t>
      </w:r>
      <w:r/>
    </w:p>
    <w:p>
      <w:pPr>
        <w:pStyle w:val="978"/>
        <w:pBdr/>
        <w:bidi w:val="false"/>
        <w:spacing w:after="60" w:before="60"/>
        <w:ind w:hanging="360" w:left="720"/>
        <w:jc w:val="left"/>
        <w:rPr/>
      </w:pPr>
      <w:r>
        <w:rPr>
          <w:color w:val="4a9b8e"/>
        </w:rPr>
        <w:t xml:space="preserve">•  </w:t>
      </w:r>
      <w:r>
        <w:t xml:space="preserve">Climate risk database integration: linking to NIWA, MfE hazard mapping, and council asset management systems</w:t>
      </w:r>
      <w:r/>
    </w:p>
    <w:p>
      <w:pPr>
        <w:pStyle w:val="978"/>
        <w:pBdr/>
        <w:bidi w:val="false"/>
        <w:spacing w:after="60" w:before="60"/>
        <w:ind w:hanging="360" w:left="720"/>
        <w:jc w:val="left"/>
        <w:rPr/>
      </w:pPr>
      <w:r>
        <w:rPr>
          <w:color w:val="4a9b8e"/>
        </w:rPr>
        <w:t xml:space="preserve">•  </w:t>
      </w:r>
      <w:r>
        <w:t xml:space="preserve">IT systems procurement and development for levy collection, claims processing, and disbursement</w:t>
      </w:r>
      <w:r/>
    </w:p>
    <w:p>
      <w:pPr>
        <w:pStyle w:val="978"/>
        <w:pBdr/>
        <w:bidi w:val="false"/>
        <w:spacing w:after="60" w:before="60"/>
        <w:ind w:hanging="360" w:left="720"/>
        <w:jc w:val="left"/>
        <w:rPr/>
      </w:pPr>
      <w:r>
        <w:rPr>
          <w:color w:val="4a9b8e"/>
        </w:rPr>
        <w:t xml:space="preserve">•  </w:t>
      </w:r>
      <w:r>
        <w:t xml:space="preserve">Staff recruitment: initial establishment of 45-60 FTE across actuarial, claims, governance, and regional liaison functions</w:t>
      </w:r>
      <w:r/>
    </w:p>
    <w:p>
      <w:pPr>
        <w:pStyle w:val="978"/>
        <w:pBdr/>
        <w:bidi w:val="false"/>
        <w:spacing w:after="60" w:before="60"/>
        <w:ind w:hanging="360" w:left="720"/>
        <w:jc w:val="left"/>
        <w:rPr/>
      </w:pPr>
      <w:r>
        <w:rPr>
          <w:color w:val="4a9b8e"/>
        </w:rPr>
        <w:t xml:space="preserve">•  </w:t>
      </w:r>
      <w:r>
        <w:t xml:space="preserve">Eligibility criteria and assessment frameworks finalised for the three funding streams</w:t>
      </w:r>
      <w:r/>
    </w:p>
    <w:tbl>
      <w:tblPr>
        <w:tblInd w:w="108" w:type="dxa"/>
        <w:tblW w:w="5000" w:type="pct"/>
        <w:tblCellMar>
          <w:left w:w="108" w:type="dxa"/>
          <w:top w:w="0" w:type="dxa"/>
          <w:right w:w="108" w:type="dxa"/>
          <w:bottom w:w="0" w:type="dxa"/>
        </w:tblCellMar>
        <w:tblBorders/>
        <w:tblLayout w:type="fixed"/>
        <w:tblLook w:val="04A0" w:firstRow="1" w:lastRow="0" w:firstColumn="1" w:lastColumn="0" w:noHBand="0" w:noVBand="1"/>
      </w:tblPr>
      <w:tblGrid>
        <w:gridCol w:w="1879"/>
        <w:gridCol w:w="7146"/>
      </w:tblGrid>
      <w:tr>
        <w:trPr>
          <w:tblHeader/>
        </w:trPr>
        <w:tc>
          <w:tcPr>
            <w:shd w:val="clear" w:color="auto" w:fill="e8f2ec"/>
            <w:tcBorders>
              <w:top w:val="single" w:color="2e7d6f" w:sz="8" w:space="0"/>
              <w:bottom w:val="single" w:color="c8ddd4" w:sz="2" w:space="0"/>
            </w:tcBorders>
            <w:tcW w:w="1879" w:type="dxa"/>
          </w:tcPr>
          <w:p>
            <w:pPr>
              <w:pStyle w:val="978"/>
              <w:pBdr/>
              <w:bidi w:val="false"/>
              <w:spacing w:after="60" w:before="60"/>
              <w:ind/>
              <w:jc w:val="left"/>
              <w:rPr/>
            </w:pPr>
            <w:r>
              <w:rPr>
                <w:b/>
                <w:color w:val="1a2f2a"/>
                <w:sz w:val="20"/>
              </w:rPr>
              <w:t xml:space="preserve">Period</w:t>
            </w:r>
            <w:r/>
          </w:p>
        </w:tc>
        <w:tc>
          <w:tcPr>
            <w:shd w:val="clear" w:color="auto" w:fill="e8f2ec"/>
            <w:tcBorders>
              <w:top w:val="single" w:color="2e7d6f" w:sz="8" w:space="0"/>
              <w:bottom w:val="single" w:color="c8ddd4" w:sz="2" w:space="0"/>
            </w:tcBorders>
            <w:tcW w:w="7146" w:type="dxa"/>
          </w:tcPr>
          <w:p>
            <w:pPr>
              <w:pStyle w:val="978"/>
              <w:pBdr/>
              <w:bidi w:val="false"/>
              <w:spacing w:after="60" w:before="60"/>
              <w:ind/>
              <w:jc w:val="left"/>
              <w:rPr/>
            </w:pPr>
            <w:r>
              <w:rPr>
                <w:b/>
                <w:color w:val="1a2f2a"/>
                <w:sz w:val="20"/>
              </w:rPr>
              <w:t xml:space="preserve">Key Milestone</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Dec 2027</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Climate Impact and Resilience Bill introduced; first reading</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Mar 2028</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CIR-ACC entity incorporated; board appointment process begins</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Apr 2028</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Select committee report back; board appointments confirmed</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May 2028</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Chief Executive appointed; regional liaison structure established</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Jun 2028</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Actuarial partnership and climate risk database integration begins</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Jul 2028</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IT systems procurement; staff recruitment commences</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Sep 2028</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Royal Assent; Climate Impact and Resilience Act 2028 commences</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Oct 2028</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Regulations gazetted; levy rates set for 2029 financial year</w:t>
            </w:r>
            <w:r/>
          </w:p>
        </w:tc>
      </w:tr>
      <w:tr>
        <w:trPr/>
        <w:tc>
          <w:tcPr>
            <w:tcBorders>
              <w:top w:val="single" w:color="c8ddd4" w:sz="2" w:space="0"/>
              <w:bottom w:val="single" w:color="2e7d6f" w:sz="8" w:space="0"/>
            </w:tcBorders>
            <w:tcW w:w="1879" w:type="dxa"/>
          </w:tcPr>
          <w:p>
            <w:pPr>
              <w:pStyle w:val="978"/>
              <w:pBdr/>
              <w:bidi w:val="false"/>
              <w:spacing w:after="40" w:before="40"/>
              <w:ind/>
              <w:jc w:val="left"/>
              <w:rPr/>
            </w:pPr>
            <w:r>
              <w:rPr>
                <w:b/>
                <w:color w:val="3d5c54"/>
                <w:sz w:val="20"/>
              </w:rPr>
              <w:t xml:space="preserve">Nov 2028</w:t>
            </w:r>
            <w:r/>
          </w:p>
        </w:tc>
        <w:tc>
          <w:tcPr>
            <w:tcBorders>
              <w:top w:val="single" w:color="c8ddd4" w:sz="2" w:space="0"/>
              <w:bottom w:val="single" w:color="2e7d6f" w:sz="8" w:space="0"/>
            </w:tcBorders>
            <w:tcW w:w="7146" w:type="dxa"/>
          </w:tcPr>
          <w:p>
            <w:pPr>
              <w:pStyle w:val="978"/>
              <w:pBdr/>
              <w:bidi w:val="false"/>
              <w:spacing w:after="40" w:before="40"/>
              <w:ind/>
              <w:jc w:val="left"/>
              <w:rPr/>
            </w:pPr>
            <w:r>
              <w:rPr>
                <w:color w:val="3d5c54"/>
                <w:sz w:val="20"/>
              </w:rPr>
              <w:t xml:space="preserve">Full operational readiness review; systems testing complete</w:t>
            </w:r>
            <w:r/>
          </w:p>
        </w:tc>
      </w:tr>
    </w:tbl>
    <w:p>
      <w:pPr>
        <w:pStyle w:val="979"/>
        <w:keepNext w:val="true"/>
        <w:keepLines w:val="true"/>
        <w:pBdr/>
        <w:bidi w:val="false"/>
        <w:spacing w:after="200" w:before="500"/>
        <w:ind/>
        <w:jc w:val="left"/>
        <w:rPr/>
      </w:pPr>
      <w:r>
        <w:t xml:space="preserve">Phase 3: Operational Launch and Pilot Programmes (2028-2029)</w:t>
      </w:r>
      <w:bookmarkStart w:id="5" w:name="_Toc005"/>
      <w:r/>
      <w:bookmarkEnd w:id="5"/>
      <w:r/>
      <w:r/>
    </w:p>
    <w:p>
      <w:pPr>
        <w:pStyle w:val="978"/>
        <w:pBdr>
          <w:left w:val="single" w:color="2e7d6f" w:sz="24" w:space="8"/>
        </w:pBdr>
        <w:bidi w:val="false"/>
        <w:spacing w:after="240" w:before="120"/>
        <w:ind w:left="360"/>
        <w:jc w:val="left"/>
        <w:rPr/>
      </w:pPr>
      <w:r>
        <w:rPr>
          <w:b/>
          <w:color w:val="2e7d6f"/>
          <w:sz w:val="24"/>
        </w:rPr>
        <w:t xml:space="preserve">Q4 2028 - Q4 2029</w:t>
      </w:r>
      <w:r>
        <w:rPr>
          <w:color w:val="3d5c54"/>
        </w:rPr>
        <w:t xml:space="preserve">  |  Levy collection commences, pilot programmes activated, first disbursements</w:t>
      </w:r>
      <w:r/>
    </w:p>
    <w:p>
      <w:pPr>
        <w:pStyle w:val="980"/>
        <w:keepNext w:val="true"/>
        <w:keepLines w:val="true"/>
        <w:pBdr/>
        <w:bidi w:val="false"/>
        <w:spacing w:after="140" w:before="360"/>
        <w:ind/>
        <w:jc w:val="left"/>
        <w:rPr/>
      </w:pPr>
      <w:r>
        <w:t xml:space="preserve">Levy Collection and Revenue Establishment (Q4 2028 - Q1 2029)</w:t>
      </w:r>
      <w:r/>
    </w:p>
    <w:p>
      <w:pPr>
        <w:pStyle w:val="978"/>
        <w:pBdr/>
        <w:bidi w:val="false"/>
        <w:spacing w:after="180" w:before="0" w:line="300" w:lineRule="auto"/>
        <w:ind/>
        <w:jc w:val="left"/>
        <w:rPr/>
      </w:pPr>
      <w:r>
        <w:t xml:space="preserve">The first levy collection cycle begins on 1 January 2029, with initial revenue flows establishing the fund's capital base. The levy mechanism is integrated with existing systems to minimise administrative burden.</w:t>
      </w:r>
      <w:r/>
    </w:p>
    <w:p>
      <w:pPr>
        <w:pStyle w:val="978"/>
        <w:pBdr/>
        <w:bidi w:val="false"/>
        <w:spacing w:after="60" w:before="60"/>
        <w:ind w:hanging="360" w:left="720"/>
        <w:jc w:val="left"/>
        <w:rPr/>
      </w:pPr>
      <w:r>
        <w:rPr>
          <w:color w:val="4a9b8e"/>
        </w:rPr>
        <w:t xml:space="preserve">•  </w:t>
      </w:r>
      <w:r>
        <w:t xml:space="preserve">Property insurance premium levy (2.5%) collected via insurance companies on all domestic and commercial policies from 1 January 2029</w:t>
      </w:r>
      <w:r/>
    </w:p>
    <w:p>
      <w:pPr>
        <w:pStyle w:val="978"/>
        <w:pBdr/>
        <w:bidi w:val="false"/>
        <w:spacing w:after="60" w:before="60"/>
        <w:ind w:hanging="360" w:left="720"/>
        <w:jc w:val="left"/>
        <w:rPr/>
      </w:pPr>
      <w:r>
        <w:rPr>
          <w:color w:val="4a9b8e"/>
        </w:rPr>
        <w:t xml:space="preserve">•  </w:t>
      </w:r>
      <w:r>
        <w:t xml:space="preserve">Commercial land value levy (0.3%) collected via council rating systems from 1 July 2029 (aligned with rating year)</w:t>
      </w:r>
      <w:r/>
    </w:p>
    <w:p>
      <w:pPr>
        <w:pStyle w:val="978"/>
        <w:pBdr/>
        <w:bidi w:val="false"/>
        <w:spacing w:after="60" w:before="60"/>
        <w:ind w:hanging="360" w:left="720"/>
        <w:jc w:val="left"/>
        <w:rPr/>
      </w:pPr>
      <w:r>
        <w:rPr>
          <w:color w:val="4a9b8e"/>
        </w:rPr>
        <w:t xml:space="preserve">•  </w:t>
      </w:r>
      <w:r>
        <w:t xml:space="preserve">Crown contribution of 40% of forecast annual requirement appropriated in Budget 2029</w:t>
      </w:r>
      <w:r/>
    </w:p>
    <w:p>
      <w:pPr>
        <w:pStyle w:val="978"/>
        <w:pBdr/>
        <w:bidi w:val="false"/>
        <w:spacing w:after="60" w:before="60"/>
        <w:ind w:hanging="360" w:left="720"/>
        <w:jc w:val="left"/>
        <w:rPr/>
      </w:pPr>
      <w:r>
        <w:rPr>
          <w:color w:val="4a9b8e"/>
        </w:rPr>
        <w:t xml:space="preserve">•  </w:t>
      </w:r>
      <w:r>
        <w:t xml:space="preserve">Initial capital base estimated at $400-500 million by 30 June 2029</w:t>
      </w:r>
      <w:r/>
    </w:p>
    <w:p>
      <w:pPr>
        <w:pStyle w:val="980"/>
        <w:keepNext w:val="true"/>
        <w:keepLines w:val="true"/>
        <w:pBdr/>
        <w:bidi w:val="false"/>
        <w:spacing w:after="140" w:before="360"/>
        <w:ind/>
        <w:jc w:val="left"/>
        <w:rPr/>
      </w:pPr>
      <w:r>
        <w:t xml:space="preserve">Pilot Mitigation Programme (Q1-Q4 2029)</w:t>
      </w:r>
      <w:r/>
    </w:p>
    <w:p>
      <w:pPr>
        <w:pStyle w:val="978"/>
        <w:pBdr/>
        <w:bidi w:val="false"/>
        <w:spacing w:after="180" w:before="0" w:line="300" w:lineRule="auto"/>
        <w:ind/>
        <w:jc w:val="left"/>
        <w:rPr/>
      </w:pPr>
      <w:r>
        <w:t xml:space="preserve">A $150 million pilot programme for pre-emptive mitigation is launched, targeting high-priority projects that demonstrate the fund's value in reducing long-term liability.</w:t>
      </w:r>
      <w:r/>
    </w:p>
    <w:p>
      <w:pPr>
        <w:pStyle w:val="978"/>
        <w:pBdr/>
        <w:bidi w:val="false"/>
        <w:spacing w:after="60" w:before="60"/>
        <w:ind w:hanging="360" w:left="720"/>
        <w:jc w:val="left"/>
        <w:rPr/>
      </w:pPr>
      <w:r>
        <w:rPr>
          <w:color w:val="4a9b8e"/>
        </w:rPr>
        <w:t xml:space="preserve">•  </w:t>
      </w:r>
      <w:r>
        <w:t xml:space="preserve">Round 1: Elevated bridges and critical infrastructure in flood-prone catchments ($60M)</w:t>
      </w:r>
      <w:r/>
    </w:p>
    <w:p>
      <w:pPr>
        <w:pStyle w:val="978"/>
        <w:pBdr/>
        <w:bidi w:val="false"/>
        <w:spacing w:after="60" w:before="60"/>
        <w:ind w:hanging="360" w:left="720"/>
        <w:jc w:val="left"/>
        <w:rPr/>
      </w:pPr>
      <w:r>
        <w:rPr>
          <w:color w:val="4a9b8e"/>
        </w:rPr>
        <w:t xml:space="preserve">•  </w:t>
      </w:r>
      <w:r>
        <w:t xml:space="preserve">Round 2: Managed retreat buy-outs for properties in unsustainable coastal and flood-risk locations ($50M)</w:t>
      </w:r>
      <w:r/>
    </w:p>
    <w:p>
      <w:pPr>
        <w:pStyle w:val="978"/>
        <w:pBdr/>
        <w:bidi w:val="false"/>
        <w:spacing w:after="60" w:before="60"/>
        <w:ind w:hanging="360" w:left="720"/>
        <w:jc w:val="left"/>
        <w:rPr/>
      </w:pPr>
      <w:r>
        <w:rPr>
          <w:color w:val="4a9b8e"/>
        </w:rPr>
        <w:t xml:space="preserve">•  </w:t>
      </w:r>
      <w:r>
        <w:t xml:space="preserve">Round 3: Wetland restoration and nature-based solutions for stormwater management ($40M)</w:t>
      </w:r>
      <w:r/>
    </w:p>
    <w:p>
      <w:pPr>
        <w:pStyle w:val="980"/>
        <w:keepNext w:val="true"/>
        <w:keepLines w:val="true"/>
        <w:pBdr/>
        <w:bidi w:val="false"/>
        <w:spacing w:after="140" w:before="360"/>
        <w:ind/>
        <w:jc w:val="left"/>
        <w:rPr/>
      </w:pPr>
      <w:r>
        <w:t xml:space="preserve">Pilot Resilience Hub Programme (Q2-Q4 2029)</w:t>
      </w:r>
      <w:r/>
    </w:p>
    <w:p>
      <w:pPr>
        <w:pStyle w:val="978"/>
        <w:pBdr/>
        <w:bidi w:val="false"/>
        <w:spacing w:after="180" w:before="0" w:line="300" w:lineRule="auto"/>
        <w:ind/>
        <w:jc w:val="left"/>
        <w:rPr/>
      </w:pPr>
      <w:r>
        <w:t xml:space="preserve">The community resilience hub stream supports development of solar+battery backup systems for emergency shelters and community facilities, building on the EPOD concept (Emergency Power Operating Devices)</w:t>
      </w:r>
      <w:r/>
    </w:p>
    <w:p>
      <w:pPr>
        <w:pStyle w:val="978"/>
        <w:pBdr/>
        <w:bidi w:val="false"/>
        <w:spacing w:after="60" w:before="60"/>
        <w:ind w:hanging="360" w:left="720"/>
        <w:jc w:val="left"/>
        <w:rPr/>
      </w:pPr>
      <w:r>
        <w:rPr>
          <w:color w:val="4a9b8e"/>
        </w:rPr>
        <w:t xml:space="preserve">•  </w:t>
      </w:r>
      <w:r>
        <w:t xml:space="preserve">Grants programme for community resilience hub establishment ($30M pilot)</w:t>
      </w:r>
      <w:r/>
    </w:p>
    <w:p>
      <w:pPr>
        <w:pStyle w:val="978"/>
        <w:pBdr/>
        <w:bidi w:val="false"/>
        <w:spacing w:after="60" w:before="60"/>
        <w:ind w:hanging="360" w:left="720"/>
        <w:jc w:val="left"/>
        <w:rPr/>
      </w:pPr>
      <w:r>
        <w:rPr>
          <w:color w:val="4a9b8e"/>
        </w:rPr>
        <w:t xml:space="preserve">•  </w:t>
      </w:r>
      <w:r>
        <w:t xml:space="preserve">Priority allocation to communities demonstrating high climate exposure and social vulnerability</w:t>
      </w:r>
      <w:r/>
    </w:p>
    <w:p>
      <w:pPr>
        <w:pStyle w:val="978"/>
        <w:pBdr/>
        <w:bidi w:val="false"/>
        <w:spacing w:after="60" w:before="60"/>
        <w:ind w:hanging="360" w:left="720"/>
        <w:jc w:val="left"/>
        <w:rPr/>
      </w:pPr>
      <w:r>
        <w:rPr>
          <w:color w:val="4a9b8e"/>
        </w:rPr>
        <w:t xml:space="preserve">•  </w:t>
      </w:r>
      <w:r>
        <w:t xml:space="preserve">Integration with Civil Defence Emergency Management Group planning</w:t>
      </w:r>
      <w:r/>
    </w:p>
    <w:p>
      <w:pPr>
        <w:pStyle w:val="978"/>
        <w:pBdr/>
        <w:bidi w:val="false"/>
        <w:spacing w:after="60" w:before="60"/>
        <w:ind w:hanging="360" w:left="720"/>
        <w:jc w:val="left"/>
        <w:rPr/>
      </w:pPr>
      <w:r>
        <w:rPr>
          <w:color w:val="4a9b8e"/>
        </w:rPr>
        <w:t xml:space="preserve">•  </w:t>
      </w:r>
      <w:r>
        <w:t xml:space="preserve">Technical standards and monitoring frameworks developed</w:t>
      </w:r>
      <w:r/>
    </w:p>
    <w:tbl>
      <w:tblPr>
        <w:tblInd w:w="108" w:type="dxa"/>
        <w:tblW w:w="5000" w:type="pct"/>
        <w:tblCellMar>
          <w:left w:w="108" w:type="dxa"/>
          <w:top w:w="0" w:type="dxa"/>
          <w:right w:w="108" w:type="dxa"/>
          <w:bottom w:w="0" w:type="dxa"/>
        </w:tblCellMar>
        <w:tblBorders/>
        <w:tblLayout w:type="fixed"/>
        <w:tblLook w:val="04A0" w:firstRow="1" w:lastRow="0" w:firstColumn="1" w:lastColumn="0" w:noHBand="0" w:noVBand="1"/>
      </w:tblPr>
      <w:tblGrid>
        <w:gridCol w:w="1879"/>
        <w:gridCol w:w="7146"/>
      </w:tblGrid>
      <w:tr>
        <w:trPr>
          <w:tblHeader/>
        </w:trPr>
        <w:tc>
          <w:tcPr>
            <w:shd w:val="clear" w:color="auto" w:fill="e8f2ec"/>
            <w:tcBorders>
              <w:top w:val="single" w:color="2e7d6f" w:sz="8" w:space="0"/>
              <w:bottom w:val="single" w:color="c8ddd4" w:sz="2" w:space="0"/>
            </w:tcBorders>
            <w:tcW w:w="1879" w:type="dxa"/>
          </w:tcPr>
          <w:p>
            <w:pPr>
              <w:pStyle w:val="978"/>
              <w:pBdr/>
              <w:bidi w:val="false"/>
              <w:spacing w:after="60" w:before="60"/>
              <w:ind/>
              <w:jc w:val="left"/>
              <w:rPr/>
            </w:pPr>
            <w:r>
              <w:rPr>
                <w:b/>
                <w:color w:val="1a2f2a"/>
                <w:sz w:val="20"/>
              </w:rPr>
              <w:t xml:space="preserve">Period</w:t>
            </w:r>
            <w:r/>
          </w:p>
        </w:tc>
        <w:tc>
          <w:tcPr>
            <w:shd w:val="clear" w:color="auto" w:fill="e8f2ec"/>
            <w:tcBorders>
              <w:top w:val="single" w:color="2e7d6f" w:sz="8" w:space="0"/>
              <w:bottom w:val="single" w:color="c8ddd4" w:sz="2" w:space="0"/>
            </w:tcBorders>
            <w:tcW w:w="7146" w:type="dxa"/>
          </w:tcPr>
          <w:p>
            <w:pPr>
              <w:pStyle w:val="978"/>
              <w:pBdr/>
              <w:bidi w:val="false"/>
              <w:spacing w:after="60" w:before="60"/>
              <w:ind/>
              <w:jc w:val="left"/>
              <w:rPr/>
            </w:pPr>
            <w:r>
              <w:rPr>
                <w:b/>
                <w:color w:val="1a2f2a"/>
                <w:sz w:val="20"/>
              </w:rPr>
              <w:t xml:space="preserve">Key Milestone</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Jan 2029</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Insurance levy collection commences; first revenue flows</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Feb 2029</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Pilot mitigation programme Round 1 opens (elevated infrastructure)</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Mar 2029</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First claims protocol activated for qualifying events</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Apr 2029</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Resilience hub pilot programme opens; regional liaison teams operational</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May 2029</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Pilot mitigation Round 2 (managed retreat buy-outs)</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Jul 2029</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Commercial land value levy collection commences via councils</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Aug 2029</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Pilot mitigation Round 3 (wetland restoration); first resilience hub grants approved</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Oct 2029</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Six-month operational review; levy compliance assessment</w:t>
            </w:r>
            <w:r/>
          </w:p>
        </w:tc>
      </w:tr>
      <w:tr>
        <w:trPr/>
        <w:tc>
          <w:tcPr>
            <w:tcBorders>
              <w:top w:val="single" w:color="c8ddd4" w:sz="2" w:space="0"/>
              <w:bottom w:val="single" w:color="2e7d6f" w:sz="8" w:space="0"/>
            </w:tcBorders>
            <w:tcW w:w="1879" w:type="dxa"/>
          </w:tcPr>
          <w:p>
            <w:pPr>
              <w:pStyle w:val="978"/>
              <w:pBdr/>
              <w:bidi w:val="false"/>
              <w:spacing w:after="40" w:before="40"/>
              <w:ind/>
              <w:jc w:val="left"/>
              <w:rPr/>
            </w:pPr>
            <w:r>
              <w:rPr>
                <w:b/>
                <w:color w:val="3d5c54"/>
                <w:sz w:val="20"/>
              </w:rPr>
              <w:t xml:space="preserve">Dec 2029</w:t>
            </w:r>
            <w:r/>
          </w:p>
        </w:tc>
        <w:tc>
          <w:tcPr>
            <w:tcBorders>
              <w:top w:val="single" w:color="c8ddd4" w:sz="2" w:space="0"/>
              <w:bottom w:val="single" w:color="2e7d6f" w:sz="8" w:space="0"/>
            </w:tcBorders>
            <w:tcW w:w="7146" w:type="dxa"/>
          </w:tcPr>
          <w:p>
            <w:pPr>
              <w:pStyle w:val="978"/>
              <w:pBdr/>
              <w:bidi w:val="false"/>
              <w:spacing w:after="40" w:before="40"/>
              <w:ind/>
              <w:jc w:val="left"/>
              <w:rPr/>
            </w:pPr>
            <w:r>
              <w:rPr>
                <w:color w:val="3d5c54"/>
                <w:sz w:val="20"/>
              </w:rPr>
              <w:t xml:space="preserve">Annual report to Parliament; year-one actuarial valuation complete</w:t>
            </w:r>
            <w:r/>
          </w:p>
        </w:tc>
      </w:tr>
    </w:tbl>
    <w:p>
      <w:pPr>
        <w:pStyle w:val="979"/>
        <w:keepNext w:val="true"/>
        <w:keepLines w:val="true"/>
        <w:pBdr/>
        <w:bidi w:val="false"/>
        <w:spacing w:after="200" w:before="500"/>
        <w:ind/>
        <w:jc w:val="left"/>
        <w:rPr/>
      </w:pPr>
      <w:r>
        <w:t xml:space="preserve">Phase 4: Full Operation and Integration (2029-2031)</w:t>
      </w:r>
      <w:bookmarkStart w:id="6" w:name="_Toc006"/>
      <w:r/>
      <w:bookmarkEnd w:id="6"/>
      <w:r/>
      <w:r/>
    </w:p>
    <w:p>
      <w:pPr>
        <w:pStyle w:val="978"/>
        <w:pBdr>
          <w:left w:val="single" w:color="2e7d6f" w:sz="24" w:space="8"/>
        </w:pBdr>
        <w:bidi w:val="false"/>
        <w:spacing w:after="240" w:before="120"/>
        <w:ind w:left="360"/>
        <w:jc w:val="left"/>
        <w:rPr/>
      </w:pPr>
      <w:r>
        <w:rPr>
          <w:b/>
          <w:color w:val="2e7d6f"/>
          <w:sz w:val="24"/>
        </w:rPr>
        <w:t xml:space="preserve">Q1 2030 - Q4 2031</w:t>
      </w:r>
      <w:r>
        <w:rPr>
          <w:color w:val="3d5c54"/>
        </w:rPr>
        <w:t xml:space="preserve">  |  Mature operations, full council access, actuarial refinement</w:t>
      </w:r>
      <w:r/>
    </w:p>
    <w:p>
      <w:pPr>
        <w:pStyle w:val="980"/>
        <w:keepNext w:val="true"/>
        <w:keepLines w:val="true"/>
        <w:pBdr/>
        <w:bidi w:val="false"/>
        <w:spacing w:after="140" w:before="360"/>
        <w:ind/>
        <w:jc w:val="left"/>
        <w:rPr/>
      </w:pPr>
      <w:r>
        <w:t xml:space="preserve">Full Programme Rollout (2029/30 Financial Year)</w:t>
      </w:r>
      <w:r/>
    </w:p>
    <w:p>
      <w:pPr>
        <w:pStyle w:val="978"/>
        <w:pBdr/>
        <w:bidi w:val="false"/>
        <w:spacing w:after="180" w:before="0" w:line="300" w:lineRule="auto"/>
        <w:ind/>
        <w:jc w:val="left"/>
        <w:rPr/>
      </w:pPr>
      <w:r>
        <w:t xml:space="preserve">With pilot learnings incorporated, the fund moves to full operational status. All three funding streams are available to all qualifying local authorities on a continuous basis.</w:t>
      </w:r>
      <w:r/>
    </w:p>
    <w:p>
      <w:pPr>
        <w:pStyle w:val="978"/>
        <w:pBdr/>
        <w:bidi w:val="false"/>
        <w:spacing w:after="60" w:before="60"/>
        <w:ind w:hanging="360" w:left="720"/>
        <w:jc w:val="left"/>
        <w:rPr/>
      </w:pPr>
      <w:r>
        <w:rPr>
          <w:color w:val="4a9b8e"/>
        </w:rPr>
        <w:t xml:space="preserve">•  </w:t>
      </w:r>
      <w:r>
        <w:t xml:space="preserve">Mitigation programme: $300M annually for elevated infrastructure, managed retreat, nature-based solutions, and flood protection</w:t>
      </w:r>
      <w:r/>
    </w:p>
    <w:p>
      <w:pPr>
        <w:pStyle w:val="978"/>
        <w:pBdr/>
        <w:bidi w:val="false"/>
        <w:spacing w:after="60" w:before="60"/>
        <w:ind w:hanging="360" w:left="720"/>
        <w:jc w:val="left"/>
        <w:rPr/>
      </w:pPr>
      <w:r>
        <w:rPr>
          <w:color w:val="4a9b8e"/>
        </w:rPr>
        <w:t xml:space="preserve">•  </w:t>
      </w:r>
      <w:r>
        <w:t xml:space="preserve">Relief programme: Event-triggered access for infrastructure repair, silt removal, temporary housing, and economic recovery (budget: $200-400M annually depending on event frequency)</w:t>
      </w:r>
      <w:r/>
    </w:p>
    <w:p>
      <w:pPr>
        <w:pStyle w:val="978"/>
        <w:pBdr/>
        <w:bidi w:val="false"/>
        <w:spacing w:after="60" w:before="60"/>
        <w:ind w:hanging="360" w:left="720"/>
        <w:jc w:val="left"/>
        <w:rPr/>
      </w:pPr>
      <w:r>
        <w:rPr>
          <w:color w:val="4a9b8e"/>
        </w:rPr>
        <w:t xml:space="preserve">•  </w:t>
      </w:r>
      <w:r>
        <w:t xml:space="preserve">Resilience hub programme: $60M annually for community facility upgrades with solar+battery backup, water resilience, and emergency communications</w:t>
      </w:r>
      <w:r/>
    </w:p>
    <w:p>
      <w:pPr>
        <w:pStyle w:val="978"/>
        <w:pBdr/>
        <w:bidi w:val="false"/>
        <w:spacing w:after="60" w:before="60"/>
        <w:ind w:hanging="360" w:left="720"/>
        <w:jc w:val="left"/>
        <w:rPr/>
      </w:pPr>
      <w:r>
        <w:rPr>
          <w:color w:val="4a9b8e"/>
        </w:rPr>
        <w:t xml:space="preserve">•  </w:t>
      </w:r>
      <w:r>
        <w:t xml:space="preserve">All 78 local authorities signed up with access protocols and pre-agreed assessment criteria</w:t>
      </w:r>
      <w:r/>
    </w:p>
    <w:p>
      <w:pPr>
        <w:pStyle w:val="980"/>
        <w:keepNext w:val="true"/>
        <w:keepLines w:val="true"/>
        <w:pBdr/>
        <w:bidi w:val="false"/>
        <w:spacing w:after="140" w:before="360"/>
        <w:ind/>
        <w:jc w:val="left"/>
        <w:rPr/>
      </w:pPr>
      <w:r>
        <w:t xml:space="preserve">Actuarial Refinement and Levy Adjustment (2030-2031)</w:t>
      </w:r>
      <w:r/>
    </w:p>
    <w:p>
      <w:pPr>
        <w:pStyle w:val="978"/>
        <w:pBdr/>
        <w:bidi w:val="false"/>
        <w:spacing w:after="180" w:before="0" w:line="300" w:lineRule="auto"/>
        <w:ind/>
        <w:jc w:val="left"/>
        <w:rPr/>
      </w:pPr>
      <w:r>
        <w:t xml:space="preserve">The first two full years of operational data enable actuarial refinement of levy rates, risk profiles, and funding allocations. The board conducts its first triennial levy review.</w:t>
      </w:r>
      <w:r/>
    </w:p>
    <w:p>
      <w:pPr>
        <w:pStyle w:val="978"/>
        <w:pBdr/>
        <w:bidi w:val="false"/>
        <w:spacing w:after="60" w:before="60"/>
        <w:ind w:hanging="360" w:left="720"/>
        <w:jc w:val="left"/>
        <w:rPr/>
      </w:pPr>
      <w:r>
        <w:rPr>
          <w:color w:val="4a9b8e"/>
        </w:rPr>
        <w:t xml:space="preserve">•  </w:t>
      </w:r>
      <w:r>
        <w:t xml:space="preserve">Triennial actuarial review completed (June 2031); levy rates adjusted based on emerging claims experience</w:t>
      </w:r>
      <w:r/>
    </w:p>
    <w:p>
      <w:pPr>
        <w:pStyle w:val="978"/>
        <w:pBdr/>
        <w:bidi w:val="false"/>
        <w:spacing w:after="60" w:before="60"/>
        <w:ind w:hanging="360" w:left="720"/>
        <w:jc w:val="left"/>
        <w:rPr/>
      </w:pPr>
      <w:r>
        <w:rPr>
          <w:color w:val="4a9b8e"/>
        </w:rPr>
        <w:t xml:space="preserve">•  </w:t>
      </w:r>
      <w:r>
        <w:t xml:space="preserve">Climate risk models updated with 2029-2031 event data and attribution science</w:t>
      </w:r>
      <w:r/>
    </w:p>
    <w:p>
      <w:pPr>
        <w:pStyle w:val="978"/>
        <w:pBdr/>
        <w:bidi w:val="false"/>
        <w:spacing w:after="60" w:before="60"/>
        <w:ind w:hanging="360" w:left="720"/>
        <w:jc w:val="left"/>
        <w:rPr/>
      </w:pPr>
      <w:r>
        <w:rPr>
          <w:color w:val="4a9b8e"/>
        </w:rPr>
        <w:t xml:space="preserve">•  </w:t>
      </w:r>
      <w:r>
        <w:t xml:space="preserve">Regional risk weightings refined to ensure equitable access across diverse hazard profiles</w:t>
      </w:r>
      <w:r/>
    </w:p>
    <w:p>
      <w:pPr>
        <w:pStyle w:val="978"/>
        <w:pBdr/>
        <w:bidi w:val="false"/>
        <w:spacing w:after="60" w:before="60"/>
        <w:ind w:hanging="360" w:left="720"/>
        <w:jc w:val="left"/>
        <w:rPr/>
      </w:pPr>
      <w:r>
        <w:rPr>
          <w:color w:val="4a9b8e"/>
        </w:rPr>
        <w:t xml:space="preserve">•  </w:t>
      </w:r>
      <w:r>
        <w:t xml:space="preserve">Investment strategy for fund reserves developed in partnership with NZ Super Fund / ACC Investment Management</w:t>
      </w:r>
      <w:r/>
    </w:p>
    <w:p>
      <w:pPr>
        <w:pStyle w:val="980"/>
        <w:keepNext w:val="true"/>
        <w:keepLines w:val="true"/>
        <w:pBdr/>
        <w:bidi w:val="false"/>
        <w:spacing w:after="140" w:before="360"/>
        <w:ind/>
        <w:jc w:val="left"/>
        <w:rPr/>
      </w:pPr>
      <w:r>
        <w:t xml:space="preserve">Systems Integration (2030-2031)</w:t>
      </w:r>
      <w:r/>
    </w:p>
    <w:p>
      <w:pPr>
        <w:pStyle w:val="978"/>
        <w:pBdr/>
        <w:bidi w:val="false"/>
        <w:spacing w:after="60" w:before="60"/>
        <w:ind w:hanging="360" w:left="720"/>
        <w:jc w:val="left"/>
        <w:rPr/>
      </w:pPr>
      <w:r>
        <w:rPr>
          <w:color w:val="4a9b8e"/>
        </w:rPr>
        <w:t xml:space="preserve">•  </w:t>
      </w:r>
      <w:r>
        <w:t xml:space="preserve">Full integration with council asset management systems for automated exposure assessment</w:t>
      </w:r>
      <w:r/>
    </w:p>
    <w:p>
      <w:pPr>
        <w:pStyle w:val="978"/>
        <w:pBdr/>
        <w:bidi w:val="false"/>
        <w:spacing w:after="60" w:before="60"/>
        <w:ind w:hanging="360" w:left="720"/>
        <w:jc w:val="left"/>
        <w:rPr/>
      </w:pPr>
      <w:r>
        <w:rPr>
          <w:color w:val="4a9b8e"/>
        </w:rPr>
        <w:t xml:space="preserve">•  </w:t>
      </w:r>
      <w:r>
        <w:t xml:space="preserve">Real-time event monitoring linked to NIWA, GeoNet, and MetService data feeds</w:t>
      </w:r>
      <w:r/>
    </w:p>
    <w:p>
      <w:pPr>
        <w:pStyle w:val="978"/>
        <w:pBdr/>
        <w:bidi w:val="false"/>
        <w:spacing w:after="60" w:before="60"/>
        <w:ind w:hanging="360" w:left="720"/>
        <w:jc w:val="left"/>
        <w:rPr/>
      </w:pPr>
      <w:r>
        <w:rPr>
          <w:color w:val="4a9b8e"/>
        </w:rPr>
        <w:t xml:space="preserve">•  </w:t>
      </w:r>
      <w:r>
        <w:t xml:space="preserve">Pre-approved project pipelines enable rapid disbursement (72-hour approval for pre-qualified projects)</w:t>
      </w:r>
      <w:r/>
    </w:p>
    <w:p>
      <w:pPr>
        <w:pStyle w:val="978"/>
        <w:pBdr/>
        <w:bidi w:val="false"/>
        <w:spacing w:after="60" w:before="60"/>
        <w:ind w:hanging="360" w:left="720"/>
        <w:jc w:val="left"/>
        <w:rPr/>
      </w:pPr>
      <w:r>
        <w:rPr>
          <w:color w:val="4a9b8e"/>
        </w:rPr>
        <w:t xml:space="preserve">•  </w:t>
      </w:r>
      <w:r>
        <w:t xml:space="preserve">Annual resilience reporting integrated with council long-term plan and annual plan cycles</w:t>
      </w:r>
      <w:r/>
    </w:p>
    <w:tbl>
      <w:tblPr>
        <w:tblInd w:w="108" w:type="dxa"/>
        <w:tblW w:w="5000" w:type="pct"/>
        <w:tblCellMar>
          <w:left w:w="108" w:type="dxa"/>
          <w:top w:w="0" w:type="dxa"/>
          <w:right w:w="108" w:type="dxa"/>
          <w:bottom w:w="0" w:type="dxa"/>
        </w:tblCellMar>
        <w:tblBorders/>
        <w:tblLayout w:type="fixed"/>
        <w:tblLook w:val="04A0" w:firstRow="1" w:lastRow="0" w:firstColumn="1" w:lastColumn="0" w:noHBand="0" w:noVBand="1"/>
      </w:tblPr>
      <w:tblGrid>
        <w:gridCol w:w="1879"/>
        <w:gridCol w:w="7146"/>
      </w:tblGrid>
      <w:tr>
        <w:trPr>
          <w:tblHeader/>
        </w:trPr>
        <w:tc>
          <w:tcPr>
            <w:shd w:val="clear" w:color="auto" w:fill="e8f2ec"/>
            <w:tcBorders>
              <w:top w:val="single" w:color="2e7d6f" w:sz="8" w:space="0"/>
              <w:bottom w:val="single" w:color="c8ddd4" w:sz="2" w:space="0"/>
            </w:tcBorders>
            <w:tcW w:w="1879" w:type="dxa"/>
          </w:tcPr>
          <w:p>
            <w:pPr>
              <w:pStyle w:val="978"/>
              <w:pBdr/>
              <w:bidi w:val="false"/>
              <w:spacing w:after="60" w:before="60"/>
              <w:ind/>
              <w:jc w:val="left"/>
              <w:rPr/>
            </w:pPr>
            <w:r>
              <w:rPr>
                <w:b/>
                <w:color w:val="1a2f2a"/>
                <w:sz w:val="20"/>
              </w:rPr>
              <w:t xml:space="preserve">Period</w:t>
            </w:r>
            <w:r/>
          </w:p>
        </w:tc>
        <w:tc>
          <w:tcPr>
            <w:shd w:val="clear" w:color="auto" w:fill="e8f2ec"/>
            <w:tcBorders>
              <w:top w:val="single" w:color="2e7d6f" w:sz="8" w:space="0"/>
              <w:bottom w:val="single" w:color="c8ddd4" w:sz="2" w:space="0"/>
            </w:tcBorders>
            <w:tcW w:w="7146" w:type="dxa"/>
          </w:tcPr>
          <w:p>
            <w:pPr>
              <w:pStyle w:val="978"/>
              <w:pBdr/>
              <w:bidi w:val="false"/>
              <w:spacing w:after="60" w:before="60"/>
              <w:ind/>
              <w:jc w:val="left"/>
              <w:rPr/>
            </w:pPr>
            <w:r>
              <w:rPr>
                <w:b/>
                <w:color w:val="1a2f2a"/>
                <w:sz w:val="20"/>
              </w:rPr>
              <w:t xml:space="preserve">Key Milestone</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Jan 2030</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Full mitigation programme opens ($300M); all councils eligible</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Mar 2030</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First annual actuarial assessment; reserve adequacy review</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Jul 2030</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First full year of dual levy collection; Crown contribution review</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Sep 2030</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Integrated council asset management systems pilot (10 councils)</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Dec 2030</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Two-year operational review; Parliamentary select committee briefing</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Mar 2031</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Real-time event monitoring system operational</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Jun 2031</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Triennial levy review completed; rates adjusted for FY2031/32</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Sep 2031</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Full council systems integration; pre-approved project pipeline active</w:t>
            </w:r>
            <w:r/>
          </w:p>
        </w:tc>
      </w:tr>
      <w:tr>
        <w:trPr/>
        <w:tc>
          <w:tcPr>
            <w:tcBorders>
              <w:top w:val="single" w:color="c8ddd4" w:sz="2" w:space="0"/>
              <w:bottom w:val="single" w:color="2e7d6f" w:sz="8" w:space="0"/>
            </w:tcBorders>
            <w:tcW w:w="1879" w:type="dxa"/>
          </w:tcPr>
          <w:p>
            <w:pPr>
              <w:pStyle w:val="978"/>
              <w:pBdr/>
              <w:bidi w:val="false"/>
              <w:spacing w:after="40" w:before="40"/>
              <w:ind/>
              <w:jc w:val="left"/>
              <w:rPr/>
            </w:pPr>
            <w:r>
              <w:rPr>
                <w:b/>
                <w:color w:val="3d5c54"/>
                <w:sz w:val="20"/>
              </w:rPr>
              <w:t xml:space="preserve">Dec 2031</w:t>
            </w:r>
            <w:r/>
          </w:p>
        </w:tc>
        <w:tc>
          <w:tcPr>
            <w:tcBorders>
              <w:top w:val="single" w:color="c8ddd4" w:sz="2" w:space="0"/>
              <w:bottom w:val="single" w:color="2e7d6f" w:sz="8" w:space="0"/>
            </w:tcBorders>
            <w:tcW w:w="7146" w:type="dxa"/>
          </w:tcPr>
          <w:p>
            <w:pPr>
              <w:pStyle w:val="978"/>
              <w:pBdr/>
              <w:bidi w:val="false"/>
              <w:spacing w:after="40" w:before="40"/>
              <w:ind/>
              <w:jc w:val="left"/>
              <w:rPr/>
            </w:pPr>
            <w:r>
              <w:rPr>
                <w:color w:val="3d5c54"/>
                <w:sz w:val="20"/>
              </w:rPr>
              <w:t xml:space="preserve">Three-year actuarial valuation; investment strategy for reserves adopted</w:t>
            </w:r>
            <w:r/>
          </w:p>
        </w:tc>
      </w:tr>
    </w:tbl>
    <w:p>
      <w:pPr>
        <w:pStyle w:val="979"/>
        <w:keepNext w:val="true"/>
        <w:keepLines w:val="true"/>
        <w:pBdr/>
        <w:bidi w:val="false"/>
        <w:spacing w:after="200" w:before="500"/>
        <w:ind/>
        <w:jc w:val="left"/>
        <w:rPr/>
      </w:pPr>
      <w:r>
        <w:t xml:space="preserve">Phase 5: Long-Term Maturity and Expansion (2031-2035+)</w:t>
      </w:r>
      <w:bookmarkStart w:id="7" w:name="_Toc007"/>
      <w:r/>
      <w:bookmarkEnd w:id="7"/>
      <w:r/>
      <w:r/>
    </w:p>
    <w:p>
      <w:pPr>
        <w:pStyle w:val="978"/>
        <w:pBdr>
          <w:left w:val="single" w:color="2e7d6f" w:sz="24" w:space="8"/>
        </w:pBdr>
        <w:bidi w:val="false"/>
        <w:spacing w:after="240" w:before="120"/>
        <w:ind w:left="360"/>
        <w:jc w:val="left"/>
        <w:rPr/>
      </w:pPr>
      <w:r>
        <w:rPr>
          <w:b/>
          <w:color w:val="2e7d6f"/>
          <w:sz w:val="24"/>
        </w:rPr>
        <w:t xml:space="preserve">2032 onwards</w:t>
      </w:r>
      <w:r>
        <w:rPr>
          <w:color w:val="3d5c54"/>
        </w:rPr>
        <w:t xml:space="preserve">  |  Continuous improvement, expanded scope, international learning</w:t>
      </w:r>
      <w:r/>
    </w:p>
    <w:p>
      <w:pPr>
        <w:pStyle w:val="980"/>
        <w:keepNext w:val="true"/>
        <w:keepLines w:val="true"/>
        <w:pBdr/>
        <w:bidi w:val="false"/>
        <w:spacing w:after="140" w:before="360"/>
        <w:ind/>
        <w:jc w:val="left"/>
        <w:rPr/>
      </w:pPr>
      <w:r>
        <w:t xml:space="preserve">Fund Maturity (2032-2035)</w:t>
      </w:r>
      <w:r/>
    </w:p>
    <w:p>
      <w:pPr>
        <w:pStyle w:val="978"/>
        <w:pBdr/>
        <w:bidi w:val="false"/>
        <w:spacing w:after="180" w:before="0" w:line="300" w:lineRule="auto"/>
        <w:ind/>
        <w:jc w:val="left"/>
        <w:rPr/>
      </w:pPr>
      <w:r>
        <w:t xml:space="preserve">By 2032, the CIR-ACC is a mature, wel</w:t>
      </w:r>
      <w:r>
        <w:t xml:space="preserve">l-capitalised institution with established governance, proven operational systems, and strong actuarial foundations. The focus shifts to continuous improvement, scope refinement, and preparation for escalating climate impacts projected through mid-century.</w:t>
      </w:r>
      <w:r/>
    </w:p>
    <w:p>
      <w:pPr>
        <w:pStyle w:val="978"/>
        <w:pBdr/>
        <w:bidi w:val="false"/>
        <w:spacing w:after="60" w:before="60"/>
        <w:ind w:hanging="360" w:left="720"/>
        <w:jc w:val="left"/>
        <w:rPr/>
      </w:pPr>
      <w:r>
        <w:rPr>
          <w:color w:val="4a9b8e"/>
        </w:rPr>
        <w:t xml:space="preserve">•  </w:t>
      </w:r>
      <w:r>
        <w:t xml:space="preserve">Projected fund balance of $2.5-3.5 billion by 2035, with annual levy revenue exceeding $1.2 billion</w:t>
      </w:r>
      <w:r/>
    </w:p>
    <w:p>
      <w:pPr>
        <w:pStyle w:val="978"/>
        <w:pBdr/>
        <w:bidi w:val="false"/>
        <w:spacing w:after="60" w:before="60"/>
        <w:ind w:hanging="360" w:left="720"/>
        <w:jc w:val="left"/>
        <w:rPr/>
      </w:pPr>
      <w:r>
        <w:rPr>
          <w:color w:val="4a9b8e"/>
        </w:rPr>
        <w:t xml:space="preserve">•  </w:t>
      </w:r>
      <w:r>
        <w:t xml:space="preserve">Full actuarial cost-benefit data available demonstrating return on mitigation investment (target: 5:1 benefit-cost ratio for pre-emptive works)</w:t>
      </w:r>
      <w:r/>
    </w:p>
    <w:p>
      <w:pPr>
        <w:pStyle w:val="978"/>
        <w:pBdr/>
        <w:bidi w:val="false"/>
        <w:spacing w:after="60" w:before="60"/>
        <w:ind w:hanging="360" w:left="720"/>
        <w:jc w:val="left"/>
        <w:rPr/>
      </w:pPr>
      <w:r>
        <w:rPr>
          <w:color w:val="4a9b8e"/>
        </w:rPr>
        <w:t xml:space="preserve">•  </w:t>
      </w:r>
      <w:r>
        <w:t xml:space="preserve">Managed retreat programme scaled to support 2,000-3,000 property acquisitions annually in high-risk zones</w:t>
      </w:r>
      <w:r/>
    </w:p>
    <w:p>
      <w:pPr>
        <w:pStyle w:val="978"/>
        <w:pBdr/>
        <w:bidi w:val="false"/>
        <w:spacing w:after="60" w:before="60"/>
        <w:ind w:hanging="360" w:left="720"/>
        <w:jc w:val="left"/>
        <w:rPr/>
      </w:pPr>
      <w:r>
        <w:rPr>
          <w:color w:val="4a9b8e"/>
        </w:rPr>
        <w:t xml:space="preserve">•  </w:t>
      </w:r>
      <w:r>
        <w:t xml:space="preserve">Community resilience hub network reaches 300+ facilities nationwide</w:t>
      </w:r>
      <w:r/>
    </w:p>
    <w:p>
      <w:pPr>
        <w:pStyle w:val="980"/>
        <w:keepNext w:val="true"/>
        <w:keepLines w:val="true"/>
        <w:pBdr/>
        <w:bidi w:val="false"/>
        <w:spacing w:after="140" w:before="360"/>
        <w:ind/>
        <w:jc w:val="left"/>
        <w:rPr/>
      </w:pPr>
      <w:r>
        <w:t xml:space="preserve">Scope Expansion and Adaptation (2033-2035+)</w:t>
      </w:r>
      <w:r/>
    </w:p>
    <w:p>
      <w:pPr>
        <w:pStyle w:val="978"/>
        <w:pBdr/>
        <w:bidi w:val="false"/>
        <w:spacing w:after="180" w:before="0" w:line="300" w:lineRule="auto"/>
        <w:ind/>
        <w:jc w:val="left"/>
        <w:rPr/>
      </w:pPr>
      <w:r>
        <w:t xml:space="preserve">As climate science evolves and operational experience accumulates, the fund's scope may expand to address emerging risks and opportunities identified through the six-yearly National Climate Change Risk Assessment cycle.</w:t>
      </w:r>
      <w:r/>
    </w:p>
    <w:p>
      <w:pPr>
        <w:pStyle w:val="978"/>
        <w:pBdr/>
        <w:bidi w:val="false"/>
        <w:spacing w:after="60" w:before="60"/>
        <w:ind w:hanging="360" w:left="720"/>
        <w:jc w:val="left"/>
        <w:rPr/>
      </w:pPr>
      <w:r>
        <w:rPr>
          <w:color w:val="4a9b8e"/>
        </w:rPr>
        <w:t xml:space="preserve">•  </w:t>
      </w:r>
      <w:r>
        <w:t xml:space="preserve">Potential expansion to cover climate-related business interruption for SMEs in qualifying events</w:t>
      </w:r>
      <w:r/>
    </w:p>
    <w:p>
      <w:pPr>
        <w:pStyle w:val="978"/>
        <w:pBdr/>
        <w:bidi w:val="false"/>
        <w:spacing w:after="60" w:before="60"/>
        <w:ind w:hanging="360" w:left="720"/>
        <w:jc w:val="left"/>
        <w:rPr/>
      </w:pPr>
      <w:r>
        <w:rPr>
          <w:color w:val="4a9b8e"/>
        </w:rPr>
        <w:t xml:space="preserve">•  </w:t>
      </w:r>
      <w:r>
        <w:t xml:space="preserve">Integration with biodiversity and ecological restoration objectives (blue carbon, catchment restoration)</w:t>
      </w:r>
      <w:r/>
    </w:p>
    <w:p>
      <w:pPr>
        <w:pStyle w:val="978"/>
        <w:pBdr/>
        <w:bidi w:val="false"/>
        <w:spacing w:after="60" w:before="60"/>
        <w:ind w:hanging="360" w:left="720"/>
        <w:jc w:val="left"/>
        <w:rPr/>
      </w:pPr>
      <w:r>
        <w:rPr>
          <w:color w:val="4a9b8e"/>
        </w:rPr>
        <w:t xml:space="preserve">•  </w:t>
      </w:r>
      <w:r>
        <w:t xml:space="preserve">International reinsurance partnership to manage tail-risk events exceeding fund capacity</w:t>
      </w:r>
      <w:r/>
    </w:p>
    <w:p>
      <w:pPr>
        <w:pStyle w:val="978"/>
        <w:pBdr/>
        <w:bidi w:val="false"/>
        <w:spacing w:after="60" w:before="60"/>
        <w:ind w:hanging="360" w:left="720"/>
        <w:jc w:val="left"/>
        <w:rPr/>
      </w:pPr>
      <w:r>
        <w:rPr>
          <w:color w:val="4a9b8e"/>
        </w:rPr>
        <w:t xml:space="preserve">•  </w:t>
      </w:r>
      <w:r>
        <w:t xml:space="preserve">Development of parametric insurance products for rapid disbursement in predictable event types</w:t>
      </w:r>
      <w:r/>
    </w:p>
    <w:p>
      <w:pPr>
        <w:pStyle w:val="980"/>
        <w:keepNext w:val="true"/>
        <w:keepLines w:val="true"/>
        <w:pBdr/>
        <w:bidi w:val="false"/>
        <w:spacing w:after="140" w:before="360"/>
        <w:ind/>
        <w:jc w:val="left"/>
        <w:rPr/>
      </w:pPr>
      <w:r>
        <w:t xml:space="preserve">Legislative Review (2034)</w:t>
      </w:r>
      <w:r/>
    </w:p>
    <w:p>
      <w:pPr>
        <w:pStyle w:val="978"/>
        <w:pBdr/>
        <w:bidi w:val="false"/>
        <w:spacing w:after="180" w:before="0" w:line="300" w:lineRule="auto"/>
        <w:ind/>
        <w:jc w:val="left"/>
        <w:rPr/>
      </w:pPr>
      <w:r>
        <w:t xml:space="preserve">The Climate Impact and Resilience Act 2028 includes a mandatory five-year legislative review. This review assesses the fund's performance against statutory objectives, governance effectiveness, levy adequacy, and scope appropriateness.</w:t>
      </w:r>
      <w:r/>
    </w:p>
    <w:p>
      <w:pPr>
        <w:pStyle w:val="978"/>
        <w:pBdr/>
        <w:bidi w:val="false"/>
        <w:spacing w:after="60" w:before="60"/>
        <w:ind w:hanging="360" w:left="720"/>
        <w:jc w:val="left"/>
        <w:rPr/>
      </w:pPr>
      <w:r>
        <w:rPr>
          <w:color w:val="4a9b8e"/>
        </w:rPr>
        <w:t xml:space="preserve">•  </w:t>
      </w:r>
      <w:r>
        <w:t xml:space="preserve">Independent review panel appointed by the Minister (Q1 2034)</w:t>
      </w:r>
      <w:r/>
    </w:p>
    <w:p>
      <w:pPr>
        <w:pStyle w:val="978"/>
        <w:pBdr/>
        <w:bidi w:val="false"/>
        <w:spacing w:after="60" w:before="60"/>
        <w:ind w:hanging="360" w:left="720"/>
        <w:jc w:val="left"/>
        <w:rPr/>
      </w:pPr>
      <w:r>
        <w:rPr>
          <w:color w:val="4a9b8e"/>
        </w:rPr>
        <w:t xml:space="preserve">•  </w:t>
      </w:r>
      <w:r>
        <w:t xml:space="preserve">Public submissions on fund performance and future priorities (Q2 2034)</w:t>
      </w:r>
      <w:r/>
    </w:p>
    <w:p>
      <w:pPr>
        <w:pStyle w:val="978"/>
        <w:pBdr/>
        <w:bidi w:val="false"/>
        <w:spacing w:after="60" w:before="60"/>
        <w:ind w:hanging="360" w:left="720"/>
        <w:jc w:val="left"/>
        <w:rPr/>
      </w:pPr>
      <w:r>
        <w:rPr>
          <w:color w:val="4a9b8e"/>
        </w:rPr>
        <w:t xml:space="preserve">•  </w:t>
      </w:r>
      <w:r>
        <w:t xml:space="preserve">Recommendations to Parliament for legislative amendments if required (Q4 2034)</w:t>
      </w:r>
      <w:r/>
    </w:p>
    <w:p>
      <w:pPr>
        <w:pStyle w:val="978"/>
        <w:pBdr/>
        <w:bidi w:val="false"/>
        <w:spacing w:after="60" w:before="60"/>
        <w:ind w:hanging="360" w:left="720"/>
        <w:jc w:val="left"/>
        <w:rPr/>
      </w:pPr>
      <w:r>
        <w:rPr>
          <w:color w:val="4a9b8e"/>
        </w:rPr>
        <w:t xml:space="preserve">•  </w:t>
      </w:r>
      <w:r>
        <w:t xml:space="preserve">Second six-yearly National Climate Change Risk Assessment (2032) informs review scope</w:t>
      </w:r>
      <w:r/>
    </w:p>
    <w:tbl>
      <w:tblPr>
        <w:tblInd w:w="108" w:type="dxa"/>
        <w:tblW w:w="5000" w:type="pct"/>
        <w:tblCellMar>
          <w:left w:w="108" w:type="dxa"/>
          <w:top w:w="0" w:type="dxa"/>
          <w:right w:w="108" w:type="dxa"/>
          <w:bottom w:w="0" w:type="dxa"/>
        </w:tblCellMar>
        <w:tblBorders/>
        <w:tblLayout w:type="fixed"/>
        <w:tblLook w:val="04A0" w:firstRow="1" w:lastRow="0" w:firstColumn="1" w:lastColumn="0" w:noHBand="0" w:noVBand="1"/>
      </w:tblPr>
      <w:tblGrid>
        <w:gridCol w:w="1879"/>
        <w:gridCol w:w="7146"/>
      </w:tblGrid>
      <w:tr>
        <w:trPr>
          <w:tblHeader/>
        </w:trPr>
        <w:tc>
          <w:tcPr>
            <w:shd w:val="clear" w:color="auto" w:fill="e8f2ec"/>
            <w:tcBorders>
              <w:top w:val="single" w:color="2e7d6f" w:sz="8" w:space="0"/>
              <w:bottom w:val="single" w:color="c8ddd4" w:sz="2" w:space="0"/>
            </w:tcBorders>
            <w:tcW w:w="1879" w:type="dxa"/>
          </w:tcPr>
          <w:p>
            <w:pPr>
              <w:pStyle w:val="978"/>
              <w:pBdr/>
              <w:bidi w:val="false"/>
              <w:spacing w:after="60" w:before="60"/>
              <w:ind/>
              <w:jc w:val="left"/>
              <w:rPr/>
            </w:pPr>
            <w:r>
              <w:rPr>
                <w:b/>
                <w:color w:val="1a2f2a"/>
                <w:sz w:val="20"/>
              </w:rPr>
              <w:t xml:space="preserve">Period</w:t>
            </w:r>
            <w:r/>
          </w:p>
        </w:tc>
        <w:tc>
          <w:tcPr>
            <w:shd w:val="clear" w:color="auto" w:fill="e8f2ec"/>
            <w:tcBorders>
              <w:top w:val="single" w:color="2e7d6f" w:sz="8" w:space="0"/>
              <w:bottom w:val="single" w:color="c8ddd4" w:sz="2" w:space="0"/>
            </w:tcBorders>
            <w:tcW w:w="7146" w:type="dxa"/>
          </w:tcPr>
          <w:p>
            <w:pPr>
              <w:pStyle w:val="978"/>
              <w:pBdr/>
              <w:bidi w:val="false"/>
              <w:spacing w:after="60" w:before="60"/>
              <w:ind/>
              <w:jc w:val="left"/>
              <w:rPr/>
            </w:pPr>
            <w:r>
              <w:rPr>
                <w:b/>
                <w:color w:val="1a2f2a"/>
                <w:sz w:val="20"/>
              </w:rPr>
              <w:t xml:space="preserve">Key Milestone</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2032</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Fund matures; $2.5B+ balance; 5:1 mitigation benefit-cost demonstrated</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2033</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Scope expansion options assessed; business interruption pilot considered</w:t>
            </w:r>
            <w:r/>
          </w:p>
        </w:tc>
      </w:tr>
      <w:tr>
        <w:trPr/>
        <w:tc>
          <w:tcPr>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2034</w:t>
            </w:r>
            <w:r/>
          </w:p>
        </w:tc>
        <w:tc>
          <w:tcPr>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Mandatory five-year legislative review; independent panel appointed</w:t>
            </w:r>
            <w:r/>
          </w:p>
        </w:tc>
      </w:tr>
      <w:tr>
        <w:trPr/>
        <w:tc>
          <w:tcPr>
            <w:shd w:val="clear" w:color="auto" w:fill="f0f7f3"/>
            <w:tcBorders>
              <w:top w:val="single" w:color="c8ddd4" w:sz="2" w:space="0"/>
              <w:bottom w:val="single" w:color="c8ddd4" w:sz="2" w:space="0"/>
            </w:tcBorders>
            <w:tcW w:w="1879" w:type="dxa"/>
          </w:tcPr>
          <w:p>
            <w:pPr>
              <w:pStyle w:val="978"/>
              <w:pBdr/>
              <w:bidi w:val="false"/>
              <w:spacing w:after="40" w:before="40"/>
              <w:ind/>
              <w:jc w:val="left"/>
              <w:rPr/>
            </w:pPr>
            <w:r>
              <w:rPr>
                <w:b/>
                <w:color w:val="3d5c54"/>
                <w:sz w:val="20"/>
              </w:rPr>
              <w:t xml:space="preserve">2035</w:t>
            </w:r>
            <w:r/>
          </w:p>
        </w:tc>
        <w:tc>
          <w:tcPr>
            <w:shd w:val="clear" w:color="auto" w:fill="f0f7f3"/>
            <w:tcBorders>
              <w:top w:val="single" w:color="c8ddd4" w:sz="2" w:space="0"/>
              <w:bottom w:val="single" w:color="c8ddd4" w:sz="2" w:space="0"/>
            </w:tcBorders>
            <w:tcW w:w="7146" w:type="dxa"/>
          </w:tcPr>
          <w:p>
            <w:pPr>
              <w:pStyle w:val="978"/>
              <w:pBdr/>
              <w:bidi w:val="false"/>
              <w:spacing w:after="40" w:before="40"/>
              <w:ind/>
              <w:jc w:val="left"/>
              <w:rPr/>
            </w:pPr>
            <w:r>
              <w:rPr>
                <w:color w:val="3d5c54"/>
                <w:sz w:val="20"/>
              </w:rPr>
              <w:t xml:space="preserve">Amended legislation (if required); international reinsurance partnerships</w:t>
            </w:r>
            <w:r/>
          </w:p>
        </w:tc>
      </w:tr>
      <w:tr>
        <w:trPr/>
        <w:tc>
          <w:tcPr>
            <w:tcBorders>
              <w:top w:val="single" w:color="c8ddd4" w:sz="2" w:space="0"/>
              <w:bottom w:val="single" w:color="2e7d6f" w:sz="8" w:space="0"/>
            </w:tcBorders>
            <w:tcW w:w="1879" w:type="dxa"/>
          </w:tcPr>
          <w:p>
            <w:pPr>
              <w:pStyle w:val="978"/>
              <w:pBdr/>
              <w:bidi w:val="false"/>
              <w:spacing w:after="40" w:before="40"/>
              <w:ind/>
              <w:jc w:val="left"/>
              <w:rPr/>
            </w:pPr>
            <w:r>
              <w:rPr>
                <w:b/>
                <w:color w:val="3d5c54"/>
                <w:sz w:val="20"/>
              </w:rPr>
              <w:t xml:space="preserve">2036+</w:t>
            </w:r>
            <w:r/>
          </w:p>
        </w:tc>
        <w:tc>
          <w:tcPr>
            <w:tcBorders>
              <w:top w:val="single" w:color="c8ddd4" w:sz="2" w:space="0"/>
              <w:bottom w:val="single" w:color="2e7d6f" w:sz="8" w:space="0"/>
            </w:tcBorders>
            <w:tcW w:w="7146" w:type="dxa"/>
          </w:tcPr>
          <w:p>
            <w:pPr>
              <w:pStyle w:val="978"/>
              <w:pBdr/>
              <w:bidi w:val="false"/>
              <w:spacing w:after="40" w:before="40"/>
              <w:ind/>
              <w:jc w:val="left"/>
              <w:rPr/>
            </w:pPr>
            <w:r>
              <w:rPr>
                <w:color w:val="3d5c54"/>
                <w:sz w:val="20"/>
              </w:rPr>
              <w:t xml:space="preserve">Continuous adaptation to escalating risks; parametric products; blue carbon integration</w:t>
            </w:r>
            <w:r/>
          </w:p>
        </w:tc>
      </w:tr>
    </w:tbl>
    <w:p>
      <w:pPr>
        <w:pStyle w:val="979"/>
        <w:keepNext w:val="true"/>
        <w:keepLines w:val="true"/>
        <w:pBdr/>
        <w:bidi w:val="false"/>
        <w:spacing w:after="200" w:before="500"/>
        <w:ind/>
        <w:jc w:val="left"/>
        <w:rPr/>
      </w:pPr>
      <w:r>
        <w:t xml:space="preserve">Governance Structure and Accountability</w:t>
      </w:r>
      <w:bookmarkStart w:id="8" w:name="_Toc008"/>
      <w:r/>
      <w:bookmarkEnd w:id="8"/>
      <w:r/>
      <w:r/>
    </w:p>
    <w:p>
      <w:pPr>
        <w:pStyle w:val="978"/>
        <w:pBdr/>
        <w:bidi w:val="false"/>
        <w:spacing w:after="180" w:before="0" w:line="300" w:lineRule="auto"/>
        <w:ind/>
        <w:jc w:val="left"/>
        <w:rPr/>
      </w:pPr>
      <w:r>
        <w:t xml:space="preserve">The CIR-ACC operates as an independent Crown entity with a governance structure designed to balance operational independence with public accountability:</w:t>
      </w:r>
      <w:r/>
    </w:p>
    <w:tbl>
      <w:tblPr>
        <w:tblInd w:w="108" w:type="dxa"/>
        <w:tblW w:w="5000" w:type="pct"/>
        <w:tblCellMar>
          <w:left w:w="108" w:type="dxa"/>
          <w:top w:w="0" w:type="dxa"/>
          <w:right w:w="108" w:type="dxa"/>
          <w:bottom w:w="0" w:type="dxa"/>
        </w:tblCellMar>
        <w:tblBorders/>
        <w:tblLayout w:type="fixed"/>
        <w:tblLook w:val="04A0" w:firstRow="1" w:lastRow="0" w:firstColumn="1" w:lastColumn="0" w:noHBand="0" w:noVBand="1"/>
      </w:tblPr>
      <w:tblGrid>
        <w:gridCol w:w="2256"/>
        <w:gridCol w:w="6769"/>
      </w:tblGrid>
      <w:tr>
        <w:trPr>
          <w:tblHeader/>
        </w:trPr>
        <w:tc>
          <w:tcPr>
            <w:shd w:val="clear" w:color="auto" w:fill="e8f2ec"/>
            <w:tcBorders>
              <w:top w:val="single" w:color="1b5e3b" w:sz="12" w:space="0"/>
              <w:bottom w:val="single" w:color="c8ddd4" w:sz="4" w:space="0"/>
            </w:tcBorders>
            <w:tcW w:w="2256" w:type="dxa"/>
          </w:tcPr>
          <w:p>
            <w:pPr>
              <w:pStyle w:val="978"/>
              <w:pBdr/>
              <w:bidi w:val="false"/>
              <w:spacing w:after="60" w:before="60"/>
              <w:ind/>
              <w:jc w:val="left"/>
              <w:rPr/>
            </w:pPr>
            <w:r>
              <w:rPr>
                <w:b/>
                <w:color w:val="1a2f2a"/>
                <w:sz w:val="20"/>
              </w:rPr>
              <w:t xml:space="preserve">Element</w:t>
            </w:r>
            <w:r/>
          </w:p>
        </w:tc>
        <w:tc>
          <w:tcPr>
            <w:shd w:val="clear" w:color="auto" w:fill="e8f2ec"/>
            <w:tcBorders>
              <w:top w:val="single" w:color="1b5e3b" w:sz="12" w:space="0"/>
              <w:bottom w:val="single" w:color="c8ddd4" w:sz="4" w:space="0"/>
            </w:tcBorders>
            <w:tcW w:w="6769" w:type="dxa"/>
          </w:tcPr>
          <w:p>
            <w:pPr>
              <w:pStyle w:val="978"/>
              <w:pBdr/>
              <w:bidi w:val="false"/>
              <w:spacing w:after="60" w:before="60"/>
              <w:ind/>
              <w:jc w:val="left"/>
              <w:rPr/>
            </w:pPr>
            <w:r>
              <w:rPr>
                <w:b/>
                <w:color w:val="1a2f2a"/>
                <w:sz w:val="20"/>
              </w:rPr>
              <w:t xml:space="preserve">Description</w:t>
            </w:r>
            <w:r/>
          </w:p>
        </w:tc>
      </w:tr>
      <w:tr>
        <w:trPr/>
        <w:tc>
          <w:tcPr>
            <w:tcBorders>
              <w:top w:val="single" w:color="c8ddd4" w:sz="4" w:space="0"/>
              <w:bottom w:val="single" w:color="c8ddd4" w:sz="4" w:space="0"/>
            </w:tcBorders>
            <w:tcW w:w="2256" w:type="dxa"/>
          </w:tcPr>
          <w:p>
            <w:pPr>
              <w:pStyle w:val="978"/>
              <w:pBdr/>
              <w:bidi w:val="false"/>
              <w:spacing w:after="40" w:before="40"/>
              <w:ind/>
              <w:jc w:val="left"/>
              <w:rPr/>
            </w:pPr>
            <w:r>
              <w:rPr>
                <w:color w:val="3d5c54"/>
                <w:sz w:val="20"/>
              </w:rPr>
              <w:t xml:space="preserve">Legal Form</w:t>
            </w:r>
            <w:r/>
          </w:p>
        </w:tc>
        <w:tc>
          <w:tcPr>
            <w:tcBorders>
              <w:top w:val="single" w:color="c8ddd4" w:sz="4" w:space="0"/>
              <w:bottom w:val="single" w:color="c8ddd4" w:sz="4" w:space="0"/>
            </w:tcBorders>
            <w:tcW w:w="6769" w:type="dxa"/>
          </w:tcPr>
          <w:p>
            <w:pPr>
              <w:pStyle w:val="978"/>
              <w:pBdr/>
              <w:bidi w:val="false"/>
              <w:spacing w:after="40" w:before="40"/>
              <w:ind/>
              <w:jc w:val="left"/>
              <w:rPr/>
            </w:pPr>
            <w:r>
              <w:rPr>
                <w:color w:val="3d5c54"/>
                <w:sz w:val="20"/>
              </w:rPr>
              <w:t xml:space="preserve">Independent Crown entity under the Crown Entities Act 2004, with specific provisions in the Climate Impact and Resilience Act 2028</w:t>
            </w:r>
            <w:r/>
          </w:p>
        </w:tc>
      </w:tr>
      <w:tr>
        <w:trPr/>
        <w:tc>
          <w:tcPr>
            <w:tcBorders>
              <w:top w:val="single" w:color="c8ddd4" w:sz="4" w:space="0"/>
              <w:bottom w:val="single" w:color="c8ddd4" w:sz="4" w:space="0"/>
            </w:tcBorders>
            <w:tcW w:w="2256" w:type="dxa"/>
          </w:tcPr>
          <w:p>
            <w:pPr>
              <w:pStyle w:val="978"/>
              <w:pBdr/>
              <w:bidi w:val="false"/>
              <w:spacing w:after="40" w:before="40"/>
              <w:ind/>
              <w:jc w:val="left"/>
              <w:rPr/>
            </w:pPr>
            <w:r>
              <w:rPr>
                <w:color w:val="3d5c54"/>
                <w:sz w:val="20"/>
              </w:rPr>
              <w:t xml:space="preserve">Board</w:t>
            </w:r>
            <w:r/>
          </w:p>
        </w:tc>
        <w:tc>
          <w:tcPr>
            <w:tcBorders>
              <w:top w:val="single" w:color="c8ddd4" w:sz="4" w:space="0"/>
              <w:bottom w:val="single" w:color="c8ddd4" w:sz="4" w:space="0"/>
            </w:tcBorders>
            <w:tcW w:w="6769" w:type="dxa"/>
          </w:tcPr>
          <w:p>
            <w:pPr>
              <w:pStyle w:val="978"/>
              <w:pBdr/>
              <w:bidi w:val="false"/>
              <w:spacing w:after="40" w:before="40"/>
              <w:ind/>
              <w:jc w:val="left"/>
              <w:rPr/>
            </w:pPr>
            <w:r>
              <w:rPr>
                <w:color w:val="3d5c54"/>
                <w:sz w:val="20"/>
              </w:rPr>
              <w:t xml:space="preserve">7 independent members with expertise in climate science, actuarial assessment, local government, infrastructure, Maori governance, and risk management</w:t>
            </w:r>
            <w:r/>
          </w:p>
        </w:tc>
      </w:tr>
      <w:tr>
        <w:trPr/>
        <w:tc>
          <w:tcPr>
            <w:tcBorders>
              <w:top w:val="single" w:color="c8ddd4" w:sz="4" w:space="0"/>
              <w:bottom w:val="single" w:color="c8ddd4" w:sz="4" w:space="0"/>
            </w:tcBorders>
            <w:tcW w:w="2256" w:type="dxa"/>
          </w:tcPr>
          <w:p>
            <w:pPr>
              <w:pStyle w:val="978"/>
              <w:pBdr/>
              <w:bidi w:val="false"/>
              <w:spacing w:after="40" w:before="40"/>
              <w:ind/>
              <w:jc w:val="left"/>
              <w:rPr/>
            </w:pPr>
            <w:r>
              <w:rPr>
                <w:color w:val="3d5c54"/>
                <w:sz w:val="20"/>
              </w:rPr>
              <w:t xml:space="preserve">Crown Oversight</w:t>
            </w:r>
            <w:r/>
          </w:p>
        </w:tc>
        <w:tc>
          <w:tcPr>
            <w:tcBorders>
              <w:top w:val="single" w:color="c8ddd4" w:sz="4" w:space="0"/>
              <w:bottom w:val="single" w:color="c8ddd4" w:sz="4" w:space="0"/>
            </w:tcBorders>
            <w:tcW w:w="6769" w:type="dxa"/>
          </w:tcPr>
          <w:p>
            <w:pPr>
              <w:pStyle w:val="978"/>
              <w:pBdr/>
              <w:bidi w:val="false"/>
              <w:spacing w:after="40" w:before="40"/>
              <w:ind/>
              <w:jc w:val="left"/>
              <w:rPr/>
            </w:pPr>
            <w:r>
              <w:rPr>
                <w:color w:val="3d5c54"/>
                <w:sz w:val="20"/>
              </w:rPr>
              <w:t xml:space="preserve">Responsible Ministers (Climate Change and Finance); monitoring under Crown Entities Act framework</w:t>
            </w:r>
            <w:r/>
          </w:p>
        </w:tc>
      </w:tr>
      <w:tr>
        <w:trPr/>
        <w:tc>
          <w:tcPr>
            <w:tcBorders>
              <w:top w:val="single" w:color="c8ddd4" w:sz="4" w:space="0"/>
              <w:bottom w:val="single" w:color="c8ddd4" w:sz="4" w:space="0"/>
            </w:tcBorders>
            <w:tcW w:w="2256" w:type="dxa"/>
          </w:tcPr>
          <w:p>
            <w:pPr>
              <w:pStyle w:val="978"/>
              <w:pBdr/>
              <w:bidi w:val="false"/>
              <w:spacing w:after="40" w:before="40"/>
              <w:ind/>
              <w:jc w:val="left"/>
              <w:rPr/>
            </w:pPr>
            <w:r>
              <w:rPr>
                <w:color w:val="3d5c54"/>
                <w:sz w:val="20"/>
              </w:rPr>
              <w:t xml:space="preserve">Iwi/Maori Participation</w:t>
            </w:r>
            <w:r/>
          </w:p>
        </w:tc>
        <w:tc>
          <w:tcPr>
            <w:tcBorders>
              <w:top w:val="single" w:color="c8ddd4" w:sz="4" w:space="0"/>
              <w:bottom w:val="single" w:color="c8ddd4" w:sz="4" w:space="0"/>
            </w:tcBorders>
            <w:tcW w:w="6769" w:type="dxa"/>
          </w:tcPr>
          <w:p>
            <w:pPr>
              <w:pStyle w:val="978"/>
              <w:pBdr/>
              <w:bidi w:val="false"/>
              <w:spacing w:after="40" w:before="40"/>
              <w:ind/>
              <w:jc w:val="left"/>
              <w:rPr/>
            </w:pPr>
            <w:r>
              <w:rPr>
                <w:color w:val="3d5c54"/>
                <w:sz w:val="20"/>
              </w:rPr>
              <w:t xml:space="preserve">Statutory board position; dedicated advisory committee; Treaty compliance audit function</w:t>
            </w:r>
            <w:r/>
          </w:p>
        </w:tc>
      </w:tr>
      <w:tr>
        <w:trPr/>
        <w:tc>
          <w:tcPr>
            <w:tcBorders>
              <w:top w:val="single" w:color="c8ddd4" w:sz="4" w:space="0"/>
              <w:bottom w:val="single" w:color="c8ddd4" w:sz="4" w:space="0"/>
            </w:tcBorders>
            <w:tcW w:w="2256" w:type="dxa"/>
          </w:tcPr>
          <w:p>
            <w:pPr>
              <w:pStyle w:val="978"/>
              <w:pBdr/>
              <w:bidi w:val="false"/>
              <w:spacing w:after="40" w:before="40"/>
              <w:ind/>
              <w:jc w:val="left"/>
              <w:rPr/>
            </w:pPr>
            <w:r>
              <w:rPr>
                <w:color w:val="3d5c54"/>
                <w:sz w:val="20"/>
              </w:rPr>
              <w:t xml:space="preserve">Local Government Voice</w:t>
            </w:r>
            <w:r/>
          </w:p>
        </w:tc>
        <w:tc>
          <w:tcPr>
            <w:tcBorders>
              <w:top w:val="single" w:color="c8ddd4" w:sz="4" w:space="0"/>
              <w:bottom w:val="single" w:color="c8ddd4" w:sz="4" w:space="0"/>
            </w:tcBorders>
            <w:tcW w:w="6769" w:type="dxa"/>
          </w:tcPr>
          <w:p>
            <w:pPr>
              <w:pStyle w:val="978"/>
              <w:pBdr/>
              <w:bidi w:val="false"/>
              <w:spacing w:after="40" w:before="40"/>
              <w:ind/>
              <w:jc w:val="left"/>
              <w:rPr/>
            </w:pPr>
            <w:r>
              <w:rPr>
                <w:color w:val="3d5c54"/>
                <w:sz w:val="20"/>
              </w:rPr>
              <w:t xml:space="preserve">Board position nominated by LGNZ; formal consultation on eligibility criteria and levy settings</w:t>
            </w:r>
            <w:r/>
          </w:p>
        </w:tc>
      </w:tr>
      <w:tr>
        <w:trPr/>
        <w:tc>
          <w:tcPr>
            <w:tcBorders>
              <w:top w:val="single" w:color="c8ddd4" w:sz="4" w:space="0"/>
              <w:bottom w:val="single" w:color="1b5e3b" w:sz="12" w:space="0"/>
            </w:tcBorders>
            <w:tcW w:w="2256" w:type="dxa"/>
          </w:tcPr>
          <w:p>
            <w:pPr>
              <w:pStyle w:val="978"/>
              <w:pBdr/>
              <w:bidi w:val="false"/>
              <w:spacing w:after="40" w:before="40"/>
              <w:ind/>
              <w:jc w:val="left"/>
              <w:rPr/>
            </w:pPr>
            <w:r>
              <w:rPr>
                <w:color w:val="3d5c54"/>
                <w:sz w:val="20"/>
              </w:rPr>
              <w:t xml:space="preserve">Audit</w:t>
            </w:r>
            <w:r/>
          </w:p>
        </w:tc>
        <w:tc>
          <w:tcPr>
            <w:tcBorders>
              <w:top w:val="single" w:color="c8ddd4" w:sz="4" w:space="0"/>
              <w:bottom w:val="single" w:color="1b5e3b" w:sz="12" w:space="0"/>
            </w:tcBorders>
            <w:tcW w:w="6769" w:type="dxa"/>
          </w:tcPr>
          <w:p>
            <w:pPr>
              <w:pStyle w:val="978"/>
              <w:pBdr/>
              <w:bidi w:val="false"/>
              <w:spacing w:after="40" w:before="40"/>
              <w:ind/>
              <w:jc w:val="left"/>
              <w:rPr/>
            </w:pPr>
            <w:r>
              <w:rPr>
                <w:color w:val="3d5c54"/>
                <w:sz w:val="20"/>
              </w:rPr>
              <w:t xml:space="preserve">Financial audit by Auditor-General; actuarial review by independent actuary; performance against statutory objectives</w:t>
            </w:r>
            <w:r/>
          </w:p>
        </w:tc>
      </w:tr>
    </w:tbl>
    <w:p>
      <w:pPr>
        <w:pStyle w:val="978"/>
        <w:pBdr/>
        <w:bidi w:val="false"/>
        <w:spacing w:after="180" w:before="0" w:line="300" w:lineRule="auto"/>
        <w:ind/>
        <w:jc w:val="left"/>
        <w:rPr/>
      </w:pPr>
      <w:r>
        <w:t xml:space="preserve">The board comprises seven members appointed by the Governor-General on the recommendation of Ministers. Appointment </w:t>
      </w:r>
      <w:r>
        <w:t xml:space="preserve">criteria ensure expertise in climate science, actuarial assessment, local government, infrastructure delivery, Maori governance, community resilience, and financial management. Board members serve staggered four-year terms with one reappointment permitted.</w:t>
      </w:r>
      <w:r/>
    </w:p>
    <w:p>
      <w:pPr>
        <w:pStyle w:val="978"/>
        <w:pBdr/>
        <w:bidi w:val="false"/>
        <w:spacing w:after="180" w:before="0" w:line="300" w:lineRule="auto"/>
        <w:ind/>
        <w:jc w:val="left"/>
        <w:rPr/>
      </w:pPr>
      <w:r>
        <w:t xml:space="preserve">An independent actuary reviews the fund's </w:t>
      </w:r>
      <w:r>
        <w:t xml:space="preserve">solvency annually, with a full actuarial valuation every three years. The Auditor-General audits the fund's financial statements and performance against statutory objectives. The fund reports annually to Parliament through the appropriate select committee.</w:t>
      </w:r>
      <w:r/>
    </w:p>
    <w:p>
      <w:pPr>
        <w:pStyle w:val="979"/>
        <w:keepNext w:val="true"/>
        <w:keepLines w:val="true"/>
        <w:pBdr/>
        <w:bidi w:val="false"/>
        <w:spacing w:after="200" w:before="500"/>
        <w:ind/>
        <w:jc w:val="left"/>
        <w:rPr/>
      </w:pPr>
      <w:r>
        <w:t xml:space="preserve">Local Government Access Framework</w:t>
      </w:r>
      <w:bookmarkStart w:id="9" w:name="_Toc009"/>
      <w:r/>
      <w:bookmarkEnd w:id="9"/>
      <w:r/>
      <w:r/>
    </w:p>
    <w:p>
      <w:pPr>
        <w:pStyle w:val="978"/>
        <w:pBdr/>
        <w:bidi w:val="false"/>
        <w:spacing w:after="180" w:before="0" w:line="300" w:lineRule="auto"/>
        <w:ind/>
        <w:jc w:val="left"/>
        <w:rPr/>
      </w:pPr>
      <w:r>
        <w:t xml:space="preserve">All 78 local authorities (regional councils, unitary authorities, territorial authorities, and district health boards where relevant) have access to the CIR-ACC through three distinct pathways:</w:t>
      </w:r>
      <w:r/>
    </w:p>
    <w:p>
      <w:pPr>
        <w:pStyle w:val="980"/>
        <w:keepNext w:val="true"/>
        <w:keepLines w:val="true"/>
        <w:pBdr/>
        <w:bidi w:val="false"/>
        <w:spacing w:after="140" w:before="360"/>
        <w:ind/>
        <w:jc w:val="left"/>
        <w:rPr/>
      </w:pPr>
      <w:r>
        <w:t xml:space="preserve">Stream 1: Pre-emptive Mitigation</w:t>
      </w:r>
      <w:r/>
    </w:p>
    <w:p>
      <w:pPr>
        <w:pStyle w:val="978"/>
        <w:pBdr/>
        <w:bidi w:val="false"/>
        <w:spacing w:after="180" w:before="0" w:line="300" w:lineRule="auto"/>
        <w:ind/>
        <w:jc w:val="left"/>
        <w:rPr/>
      </w:pPr>
      <w:r>
        <w:t xml:space="preserve">Councils submit project proposals against predetermined eligibility criteria. Projects must demonstrate a positive benefit-cost ratio, alignment with</w:t>
      </w:r>
      <w:r>
        <w:t xml:space="preserve"> district/regional climate adaptation plans, and deliver measurable risk reduction. Assessment criteria prioritise projects protecting critical infrastructure, reducing community vulnerability, and delivering co-benefits for biodiversity and water quality.</w:t>
      </w:r>
      <w:r/>
    </w:p>
    <w:p>
      <w:pPr>
        <w:pStyle w:val="980"/>
        <w:keepNext w:val="true"/>
        <w:keepLines w:val="true"/>
        <w:pBdr/>
        <w:bidi w:val="false"/>
        <w:spacing w:after="140" w:before="360"/>
        <w:ind/>
        <w:jc w:val="left"/>
        <w:rPr/>
      </w:pPr>
      <w:r>
        <w:t xml:space="preserve">Stream 2: Post-Event Relief</w:t>
      </w:r>
      <w:r/>
    </w:p>
    <w:p>
      <w:pPr>
        <w:pStyle w:val="978"/>
        <w:pBdr/>
        <w:bidi w:val="false"/>
        <w:spacing w:after="180" w:before="0" w:line="300" w:lineRule="auto"/>
        <w:ind/>
        <w:jc w:val="left"/>
        <w:rPr/>
      </w:pPr>
      <w:r>
        <w:t xml:space="preserve">Following a qualifying climate event (defined by intensity thresholds linked to NIWA and MetService data), affected councils activate the relief protocol. Pre-negotiated as</w:t>
      </w:r>
      <w:r>
        <w:t xml:space="preserve">sessment contracts enable rapid damage evaluation, with 72-hour approval for pre-qualified response categories. The fund covers infrastructure repair, silt and debris removal, temporary accommodation, and economic recovery support for affected communities.</w:t>
      </w:r>
      <w:r/>
    </w:p>
    <w:p>
      <w:pPr>
        <w:pStyle w:val="980"/>
        <w:keepNext w:val="true"/>
        <w:keepLines w:val="true"/>
        <w:pBdr/>
        <w:bidi w:val="false"/>
        <w:spacing w:after="140" w:before="360"/>
        <w:ind/>
        <w:jc w:val="left"/>
        <w:rPr/>
      </w:pPr>
      <w:r>
        <w:t xml:space="preserve">Stream 3: Community Resilience Hubs</w:t>
      </w:r>
      <w:r/>
    </w:p>
    <w:p>
      <w:pPr>
        <w:pStyle w:val="978"/>
        <w:pBdr/>
        <w:bidi w:val="false"/>
        <w:spacing w:after="180" w:before="0" w:line="300" w:lineRule="auto"/>
        <w:ind/>
        <w:jc w:val="left"/>
        <w:rPr/>
      </w:pPr>
      <w:r>
        <w:t xml:space="preserve">The resilience hub stream provides capital grants for community facilities that can function as emergency shelters during infrastructure disruption. Eligible projects include s</w:t>
      </w:r>
      <w:r>
        <w:t xml:space="preserve">olar+battery installations, water independence systems, emergency communications upgrades, and accessibility improvements. Priority allocation uses a vulnerability index combining climate exposure, social deprivation, and infrastructure dependency metrics.</w:t>
      </w:r>
      <w:r/>
    </w:p>
    <w:tbl>
      <w:tblPr>
        <w:tblInd w:w="108" w:type="dxa"/>
        <w:tblW w:w="5000" w:type="pct"/>
        <w:tblCellMar>
          <w:left w:w="108" w:type="dxa"/>
          <w:top w:w="0" w:type="dxa"/>
          <w:right w:w="108" w:type="dxa"/>
          <w:bottom w:w="0" w:type="dxa"/>
        </w:tblCellMar>
        <w:tblBorders/>
        <w:tblLayout w:type="fixed"/>
        <w:tblLook w:val="04A0" w:firstRow="1" w:lastRow="0" w:firstColumn="1" w:lastColumn="0" w:noHBand="0" w:noVBand="1"/>
      </w:tblPr>
      <w:tblGrid>
        <w:gridCol w:w="2068"/>
        <w:gridCol w:w="2257"/>
        <w:gridCol w:w="4701"/>
      </w:tblGrid>
      <w:tr>
        <w:trPr>
          <w:tblHeader/>
        </w:trPr>
        <w:tc>
          <w:tcPr>
            <w:shd w:val="clear" w:color="auto" w:fill="e8f2ec"/>
            <w:tcBorders>
              <w:top w:val="single" w:color="1b5e3b" w:sz="12" w:space="0"/>
              <w:bottom w:val="single" w:color="c8ddd4" w:sz="4" w:space="0"/>
            </w:tcBorders>
            <w:tcW w:w="2068" w:type="dxa"/>
          </w:tcPr>
          <w:p>
            <w:pPr>
              <w:pStyle w:val="978"/>
              <w:pBdr/>
              <w:bidi w:val="false"/>
              <w:spacing w:after="60" w:before="60"/>
              <w:ind/>
              <w:jc w:val="left"/>
              <w:rPr/>
            </w:pPr>
            <w:r>
              <w:rPr>
                <w:b/>
                <w:color w:val="1a2f2a"/>
                <w:sz w:val="20"/>
              </w:rPr>
              <w:t xml:space="preserve">Stream</w:t>
            </w:r>
            <w:r/>
          </w:p>
        </w:tc>
        <w:tc>
          <w:tcPr>
            <w:shd w:val="clear" w:color="auto" w:fill="e8f2ec"/>
            <w:tcBorders>
              <w:top w:val="single" w:color="1b5e3b" w:sz="12" w:space="0"/>
              <w:bottom w:val="single" w:color="c8ddd4" w:sz="4" w:space="0"/>
            </w:tcBorders>
            <w:tcW w:w="2257" w:type="dxa"/>
          </w:tcPr>
          <w:p>
            <w:pPr>
              <w:pStyle w:val="978"/>
              <w:pBdr/>
              <w:bidi w:val="false"/>
              <w:spacing w:after="60" w:before="60"/>
              <w:ind/>
              <w:jc w:val="left"/>
              <w:rPr/>
            </w:pPr>
            <w:r>
              <w:rPr>
                <w:b/>
                <w:color w:val="1a2f2a"/>
                <w:sz w:val="20"/>
              </w:rPr>
              <w:t xml:space="preserve">Annual Allocation</w:t>
            </w:r>
            <w:r/>
          </w:p>
        </w:tc>
        <w:tc>
          <w:tcPr>
            <w:shd w:val="clear" w:color="auto" w:fill="e8f2ec"/>
            <w:tcBorders>
              <w:top w:val="single" w:color="1b5e3b" w:sz="12" w:space="0"/>
              <w:bottom w:val="single" w:color="c8ddd4" w:sz="4" w:space="0"/>
            </w:tcBorders>
            <w:tcW w:w="4701" w:type="dxa"/>
          </w:tcPr>
          <w:p>
            <w:pPr>
              <w:pStyle w:val="978"/>
              <w:pBdr/>
              <w:bidi w:val="false"/>
              <w:spacing w:after="60" w:before="60"/>
              <w:ind/>
              <w:jc w:val="left"/>
              <w:rPr/>
            </w:pPr>
            <w:r>
              <w:rPr>
                <w:b/>
                <w:color w:val="1a2f2a"/>
                <w:sz w:val="20"/>
              </w:rPr>
              <w:t xml:space="preserve">Eligible Activities</w:t>
            </w:r>
            <w:r/>
          </w:p>
        </w:tc>
      </w:tr>
      <w:tr>
        <w:trPr/>
        <w:tc>
          <w:tcPr>
            <w:tcBorders>
              <w:top w:val="single" w:color="c8ddd4" w:sz="4" w:space="0"/>
              <w:bottom w:val="single" w:color="c8ddd4" w:sz="4" w:space="0"/>
            </w:tcBorders>
            <w:tcW w:w="2068" w:type="dxa"/>
          </w:tcPr>
          <w:p>
            <w:pPr>
              <w:pStyle w:val="978"/>
              <w:pBdr/>
              <w:bidi w:val="false"/>
              <w:spacing w:after="40" w:before="40"/>
              <w:ind/>
              <w:jc w:val="left"/>
              <w:rPr/>
            </w:pPr>
            <w:r>
              <w:rPr>
                <w:color w:val="3d5c54"/>
                <w:sz w:val="20"/>
              </w:rPr>
              <w:t xml:space="preserve">Pre-emptive Mitigation</w:t>
            </w:r>
            <w:r/>
          </w:p>
        </w:tc>
        <w:tc>
          <w:tcPr>
            <w:tcBorders>
              <w:top w:val="single" w:color="c8ddd4" w:sz="4" w:space="0"/>
              <w:bottom w:val="single" w:color="c8ddd4" w:sz="4" w:space="0"/>
            </w:tcBorders>
            <w:tcW w:w="2257" w:type="dxa"/>
          </w:tcPr>
          <w:p>
            <w:pPr>
              <w:pStyle w:val="978"/>
              <w:pBdr/>
              <w:bidi w:val="false"/>
              <w:spacing w:after="40" w:before="40"/>
              <w:ind/>
              <w:jc w:val="left"/>
              <w:rPr/>
            </w:pPr>
            <w:r>
              <w:rPr>
                <w:color w:val="3d5c54"/>
                <w:sz w:val="20"/>
              </w:rPr>
              <w:t xml:space="preserve">$300M (base)</w:t>
            </w:r>
            <w:r/>
          </w:p>
        </w:tc>
        <w:tc>
          <w:tcPr>
            <w:tcBorders>
              <w:top w:val="single" w:color="c8ddd4" w:sz="4" w:space="0"/>
              <w:bottom w:val="single" w:color="c8ddd4" w:sz="4" w:space="0"/>
            </w:tcBorders>
            <w:tcW w:w="4701" w:type="dxa"/>
          </w:tcPr>
          <w:p>
            <w:pPr>
              <w:pStyle w:val="978"/>
              <w:pBdr/>
              <w:bidi w:val="false"/>
              <w:spacing w:after="40" w:before="40"/>
              <w:ind/>
              <w:jc w:val="left"/>
              <w:rPr/>
            </w:pPr>
            <w:r>
              <w:rPr>
                <w:color w:val="3d5c54"/>
                <w:sz w:val="20"/>
              </w:rPr>
              <w:t xml:space="preserve">Elevated infrastructure, managed retreat, wetland restoration, flood protection, nature-based solutions</w:t>
            </w:r>
            <w:r/>
          </w:p>
        </w:tc>
      </w:tr>
      <w:tr>
        <w:trPr/>
        <w:tc>
          <w:tcPr>
            <w:tcBorders>
              <w:top w:val="single" w:color="c8ddd4" w:sz="4" w:space="0"/>
              <w:bottom w:val="single" w:color="c8ddd4" w:sz="4" w:space="0"/>
            </w:tcBorders>
            <w:tcW w:w="2068" w:type="dxa"/>
          </w:tcPr>
          <w:p>
            <w:pPr>
              <w:pStyle w:val="978"/>
              <w:pBdr/>
              <w:bidi w:val="false"/>
              <w:spacing w:after="40" w:before="40"/>
              <w:ind/>
              <w:jc w:val="left"/>
              <w:rPr/>
            </w:pPr>
            <w:r>
              <w:rPr>
                <w:color w:val="3d5c54"/>
                <w:sz w:val="20"/>
              </w:rPr>
              <w:t xml:space="preserve">Post-Event Relief</w:t>
            </w:r>
            <w:r/>
          </w:p>
        </w:tc>
        <w:tc>
          <w:tcPr>
            <w:tcBorders>
              <w:top w:val="single" w:color="c8ddd4" w:sz="4" w:space="0"/>
              <w:bottom w:val="single" w:color="c8ddd4" w:sz="4" w:space="0"/>
            </w:tcBorders>
            <w:tcW w:w="2257" w:type="dxa"/>
          </w:tcPr>
          <w:p>
            <w:pPr>
              <w:pStyle w:val="978"/>
              <w:pBdr/>
              <w:bidi w:val="false"/>
              <w:spacing w:after="40" w:before="40"/>
              <w:ind/>
              <w:jc w:val="left"/>
              <w:rPr/>
            </w:pPr>
            <w:r>
              <w:rPr>
                <w:color w:val="3d5c54"/>
                <w:sz w:val="20"/>
              </w:rPr>
              <w:t xml:space="preserve">$200-400M (variable)</w:t>
            </w:r>
            <w:r/>
          </w:p>
        </w:tc>
        <w:tc>
          <w:tcPr>
            <w:tcBorders>
              <w:top w:val="single" w:color="c8ddd4" w:sz="4" w:space="0"/>
              <w:bottom w:val="single" w:color="c8ddd4" w:sz="4" w:space="0"/>
            </w:tcBorders>
            <w:tcW w:w="4701" w:type="dxa"/>
          </w:tcPr>
          <w:p>
            <w:pPr>
              <w:pStyle w:val="978"/>
              <w:pBdr/>
              <w:bidi w:val="false"/>
              <w:spacing w:after="40" w:before="40"/>
              <w:ind/>
              <w:jc w:val="left"/>
              <w:rPr/>
            </w:pPr>
            <w:r>
              <w:rPr>
                <w:color w:val="3d5c54"/>
                <w:sz w:val="20"/>
              </w:rPr>
              <w:t xml:space="preserve">Infrastructure repair, silt removal, temporary housing, economic recovery support</w:t>
            </w:r>
            <w:r/>
          </w:p>
        </w:tc>
      </w:tr>
      <w:tr>
        <w:trPr/>
        <w:tc>
          <w:tcPr>
            <w:tcBorders>
              <w:top w:val="single" w:color="c8ddd4" w:sz="4" w:space="0"/>
              <w:bottom w:val="single" w:color="1b5e3b" w:sz="12" w:space="0"/>
            </w:tcBorders>
            <w:tcW w:w="2068" w:type="dxa"/>
          </w:tcPr>
          <w:p>
            <w:pPr>
              <w:pStyle w:val="978"/>
              <w:pBdr/>
              <w:bidi w:val="false"/>
              <w:spacing w:after="40" w:before="40"/>
              <w:ind/>
              <w:jc w:val="left"/>
              <w:rPr/>
            </w:pPr>
            <w:r>
              <w:rPr>
                <w:color w:val="3d5c54"/>
                <w:sz w:val="20"/>
              </w:rPr>
              <w:t xml:space="preserve">Community Resilience Hubs</w:t>
            </w:r>
            <w:r/>
          </w:p>
        </w:tc>
        <w:tc>
          <w:tcPr>
            <w:tcBorders>
              <w:top w:val="single" w:color="c8ddd4" w:sz="4" w:space="0"/>
              <w:bottom w:val="single" w:color="1b5e3b" w:sz="12" w:space="0"/>
            </w:tcBorders>
            <w:tcW w:w="2257" w:type="dxa"/>
          </w:tcPr>
          <w:p>
            <w:pPr>
              <w:pStyle w:val="978"/>
              <w:pBdr/>
              <w:bidi w:val="false"/>
              <w:spacing w:after="40" w:before="40"/>
              <w:ind/>
              <w:jc w:val="left"/>
              <w:rPr/>
            </w:pPr>
            <w:r>
              <w:rPr>
                <w:color w:val="3d5c54"/>
                <w:sz w:val="20"/>
              </w:rPr>
              <w:t xml:space="preserve">$60M (base)</w:t>
            </w:r>
            <w:r/>
          </w:p>
        </w:tc>
        <w:tc>
          <w:tcPr>
            <w:tcBorders>
              <w:top w:val="single" w:color="c8ddd4" w:sz="4" w:space="0"/>
              <w:bottom w:val="single" w:color="1b5e3b" w:sz="12" w:space="0"/>
            </w:tcBorders>
            <w:tcW w:w="4701" w:type="dxa"/>
          </w:tcPr>
          <w:p>
            <w:pPr>
              <w:pStyle w:val="978"/>
              <w:pBdr/>
              <w:bidi w:val="false"/>
              <w:spacing w:after="40" w:before="40"/>
              <w:ind/>
              <w:jc w:val="left"/>
              <w:rPr/>
            </w:pPr>
            <w:r>
              <w:rPr>
                <w:color w:val="3d5c54"/>
                <w:sz w:val="20"/>
              </w:rPr>
              <w:t xml:space="preserve">Solar+battery systems, water independence, emergency comms, accessibility upgrades</w:t>
            </w:r>
            <w:r/>
          </w:p>
        </w:tc>
      </w:tr>
    </w:tbl>
    <w:p>
      <w:pPr>
        <w:pStyle w:val="979"/>
        <w:keepNext w:val="true"/>
        <w:keepLines w:val="true"/>
        <w:pBdr/>
        <w:bidi w:val="false"/>
        <w:spacing w:after="200" w:before="500"/>
        <w:ind/>
        <w:jc w:val="left"/>
        <w:rPr/>
      </w:pPr>
      <w:r>
        <w:t xml:space="preserve">Risk Factors and Mitigation</w:t>
      </w:r>
      <w:bookmarkStart w:id="10" w:name="_Toc010"/>
      <w:r/>
      <w:bookmarkEnd w:id="10"/>
      <w:r/>
      <w:r/>
    </w:p>
    <w:p>
      <w:pPr>
        <w:pStyle w:val="978"/>
        <w:pBdr/>
        <w:bidi w:val="false"/>
        <w:spacing w:after="180" w:before="0" w:line="300" w:lineRule="auto"/>
        <w:ind/>
        <w:jc w:val="left"/>
        <w:rPr/>
      </w:pPr>
      <w:r>
        <w:t xml:space="preserve">The successful establishment and operation of the CIR-ACC depends on managing several key risks:</w:t>
      </w:r>
      <w:r/>
    </w:p>
    <w:tbl>
      <w:tblPr>
        <w:tblInd w:w="108" w:type="dxa"/>
        <w:tblW w:w="5000" w:type="pct"/>
        <w:tblCellMar>
          <w:left w:w="108" w:type="dxa"/>
          <w:top w:w="0" w:type="dxa"/>
          <w:right w:w="108" w:type="dxa"/>
          <w:bottom w:w="0" w:type="dxa"/>
        </w:tblCellMar>
        <w:tblBorders/>
        <w:tblLayout w:type="fixed"/>
        <w:tblLook w:val="04A0" w:firstRow="1" w:lastRow="0" w:firstColumn="1" w:lastColumn="0" w:noHBand="0" w:noVBand="1"/>
      </w:tblPr>
      <w:tblGrid>
        <w:gridCol w:w="2632"/>
        <w:gridCol w:w="6393"/>
      </w:tblGrid>
      <w:tr>
        <w:trPr>
          <w:tblHeader/>
        </w:trPr>
        <w:tc>
          <w:tcPr>
            <w:shd w:val="clear" w:color="auto" w:fill="e8f2ec"/>
            <w:tcBorders>
              <w:top w:val="single" w:color="1b5e3b" w:sz="12" w:space="0"/>
              <w:bottom w:val="single" w:color="c8ddd4" w:sz="4" w:space="0"/>
            </w:tcBorders>
            <w:tcW w:w="2632" w:type="dxa"/>
          </w:tcPr>
          <w:p>
            <w:pPr>
              <w:pStyle w:val="978"/>
              <w:pBdr/>
              <w:bidi w:val="false"/>
              <w:spacing w:after="60" w:before="60"/>
              <w:ind/>
              <w:jc w:val="left"/>
              <w:rPr/>
            </w:pPr>
            <w:r>
              <w:rPr>
                <w:b/>
                <w:color w:val="1a2f2a"/>
                <w:sz w:val="20"/>
              </w:rPr>
              <w:t xml:space="preserve">Risk Factor</w:t>
            </w:r>
            <w:r/>
          </w:p>
        </w:tc>
        <w:tc>
          <w:tcPr>
            <w:shd w:val="clear" w:color="auto" w:fill="e8f2ec"/>
            <w:tcBorders>
              <w:top w:val="single" w:color="1b5e3b" w:sz="12" w:space="0"/>
              <w:bottom w:val="single" w:color="c8ddd4" w:sz="4" w:space="0"/>
            </w:tcBorders>
            <w:tcW w:w="6393" w:type="dxa"/>
          </w:tcPr>
          <w:p>
            <w:pPr>
              <w:pStyle w:val="978"/>
              <w:pBdr/>
              <w:bidi w:val="false"/>
              <w:spacing w:after="60" w:before="60"/>
              <w:ind/>
              <w:jc w:val="left"/>
              <w:rPr/>
            </w:pPr>
            <w:r>
              <w:rPr>
                <w:b/>
                <w:color w:val="1a2f2a"/>
                <w:sz w:val="20"/>
              </w:rPr>
              <w:t xml:space="preserve">Mitigation Strategy</w:t>
            </w:r>
            <w:r/>
          </w:p>
        </w:tc>
      </w:tr>
      <w:tr>
        <w:trPr/>
        <w:tc>
          <w:tcPr>
            <w:tcBorders>
              <w:top w:val="single" w:color="c8ddd4" w:sz="4" w:space="0"/>
              <w:bottom w:val="single" w:color="c8ddd4" w:sz="4" w:space="0"/>
            </w:tcBorders>
            <w:tcW w:w="2632" w:type="dxa"/>
          </w:tcPr>
          <w:p>
            <w:pPr>
              <w:pStyle w:val="978"/>
              <w:pBdr/>
              <w:bidi w:val="false"/>
              <w:spacing w:after="40" w:before="40"/>
              <w:ind/>
              <w:jc w:val="left"/>
              <w:rPr/>
            </w:pPr>
            <w:r>
              <w:rPr>
                <w:color w:val="3d5c54"/>
                <w:sz w:val="20"/>
              </w:rPr>
              <w:t xml:space="preserve">Political discontinuity</w:t>
            </w:r>
            <w:r/>
          </w:p>
        </w:tc>
        <w:tc>
          <w:tcPr>
            <w:tcBorders>
              <w:top w:val="single" w:color="c8ddd4" w:sz="4" w:space="0"/>
              <w:bottom w:val="single" w:color="c8ddd4" w:sz="4" w:space="0"/>
            </w:tcBorders>
            <w:tcW w:w="6393" w:type="dxa"/>
          </w:tcPr>
          <w:p>
            <w:pPr>
              <w:pStyle w:val="978"/>
              <w:pBdr/>
              <w:bidi w:val="false"/>
              <w:spacing w:after="40" w:before="40"/>
              <w:ind/>
              <w:jc w:val="left"/>
              <w:rPr/>
            </w:pPr>
            <w:r>
              <w:rPr>
                <w:color w:val="3d5c54"/>
                <w:sz w:val="20"/>
              </w:rPr>
              <w:t xml:space="preserve">Bipartisan support locked in through select committee process; statutory independence protects against ministerial interference</w:t>
            </w:r>
            <w:r/>
          </w:p>
        </w:tc>
      </w:tr>
      <w:tr>
        <w:trPr/>
        <w:tc>
          <w:tcPr>
            <w:tcBorders>
              <w:top w:val="single" w:color="c8ddd4" w:sz="4" w:space="0"/>
              <w:bottom w:val="single" w:color="c8ddd4" w:sz="4" w:space="0"/>
            </w:tcBorders>
            <w:tcW w:w="2632" w:type="dxa"/>
          </w:tcPr>
          <w:p>
            <w:pPr>
              <w:pStyle w:val="978"/>
              <w:pBdr/>
              <w:bidi w:val="false"/>
              <w:spacing w:after="40" w:before="40"/>
              <w:ind/>
              <w:jc w:val="left"/>
              <w:rPr/>
            </w:pPr>
            <w:r>
              <w:rPr>
                <w:color w:val="3d5c54"/>
                <w:sz w:val="20"/>
              </w:rPr>
              <w:t xml:space="preserve">Levy resistance</w:t>
            </w:r>
            <w:r/>
          </w:p>
        </w:tc>
        <w:tc>
          <w:tcPr>
            <w:tcBorders>
              <w:top w:val="single" w:color="c8ddd4" w:sz="4" w:space="0"/>
              <w:bottom w:val="single" w:color="c8ddd4" w:sz="4" w:space="0"/>
            </w:tcBorders>
            <w:tcW w:w="6393" w:type="dxa"/>
          </w:tcPr>
          <w:p>
            <w:pPr>
              <w:pStyle w:val="978"/>
              <w:pBdr/>
              <w:bidi w:val="false"/>
              <w:spacing w:after="40" w:before="40"/>
              <w:ind/>
              <w:jc w:val="left"/>
              <w:rPr/>
            </w:pPr>
            <w:r>
              <w:rPr>
                <w:color w:val="3d5c54"/>
                <w:sz w:val="20"/>
              </w:rPr>
              <w:t xml:space="preserve">Phased introduction starting at 50% of target rates; public education campaign; clear demonstration of benefit-cost advantage</w:t>
            </w:r>
            <w:r/>
          </w:p>
        </w:tc>
      </w:tr>
      <w:tr>
        <w:trPr/>
        <w:tc>
          <w:tcPr>
            <w:tcBorders>
              <w:top w:val="single" w:color="c8ddd4" w:sz="4" w:space="0"/>
              <w:bottom w:val="single" w:color="c8ddd4" w:sz="4" w:space="0"/>
            </w:tcBorders>
            <w:tcW w:w="2632" w:type="dxa"/>
          </w:tcPr>
          <w:p>
            <w:pPr>
              <w:pStyle w:val="978"/>
              <w:pBdr/>
              <w:bidi w:val="false"/>
              <w:spacing w:after="40" w:before="40"/>
              <w:ind/>
              <w:jc w:val="left"/>
              <w:rPr/>
            </w:pPr>
            <w:r>
              <w:rPr>
                <w:color w:val="3d5c54"/>
                <w:sz w:val="20"/>
              </w:rPr>
              <w:t xml:space="preserve">Event frequency exceeding actuarial projections</w:t>
            </w:r>
            <w:r/>
          </w:p>
        </w:tc>
        <w:tc>
          <w:tcPr>
            <w:tcBorders>
              <w:top w:val="single" w:color="c8ddd4" w:sz="4" w:space="0"/>
              <w:bottom w:val="single" w:color="c8ddd4" w:sz="4" w:space="0"/>
            </w:tcBorders>
            <w:tcW w:w="6393" w:type="dxa"/>
          </w:tcPr>
          <w:p>
            <w:pPr>
              <w:pStyle w:val="978"/>
              <w:pBdr/>
              <w:bidi w:val="false"/>
              <w:spacing w:after="40" w:before="40"/>
              <w:ind/>
              <w:jc w:val="left"/>
              <w:rPr/>
            </w:pPr>
            <w:r>
              <w:rPr>
                <w:color w:val="3d5c54"/>
                <w:sz w:val="20"/>
              </w:rPr>
              <w:t xml:space="preserve">Prudential capital buffer (target 120% of expected liabilities); reinsurance for tail risks; triennial levy review mechanism</w:t>
            </w:r>
            <w:r/>
          </w:p>
        </w:tc>
      </w:tr>
      <w:tr>
        <w:trPr/>
        <w:tc>
          <w:tcPr>
            <w:tcBorders>
              <w:top w:val="single" w:color="c8ddd4" w:sz="4" w:space="0"/>
              <w:bottom w:val="single" w:color="c8ddd4" w:sz="4" w:space="0"/>
            </w:tcBorders>
            <w:tcW w:w="2632" w:type="dxa"/>
          </w:tcPr>
          <w:p>
            <w:pPr>
              <w:pStyle w:val="978"/>
              <w:pBdr/>
              <w:bidi w:val="false"/>
              <w:spacing w:after="40" w:before="40"/>
              <w:ind/>
              <w:jc w:val="left"/>
              <w:rPr/>
            </w:pPr>
            <w:r>
              <w:rPr>
                <w:color w:val="3d5c54"/>
                <w:sz w:val="20"/>
              </w:rPr>
              <w:t xml:space="preserve">Council capacity constraints</w:t>
            </w:r>
            <w:r/>
          </w:p>
        </w:tc>
        <w:tc>
          <w:tcPr>
            <w:tcBorders>
              <w:top w:val="single" w:color="c8ddd4" w:sz="4" w:space="0"/>
              <w:bottom w:val="single" w:color="c8ddd4" w:sz="4" w:space="0"/>
            </w:tcBorders>
            <w:tcW w:w="6393" w:type="dxa"/>
          </w:tcPr>
          <w:p>
            <w:pPr>
              <w:pStyle w:val="978"/>
              <w:pBdr/>
              <w:bidi w:val="false"/>
              <w:spacing w:after="40" w:before="40"/>
              <w:ind/>
              <w:jc w:val="left"/>
              <w:rPr/>
            </w:pPr>
            <w:r>
              <w:rPr>
                <w:color w:val="3d5c54"/>
                <w:sz w:val="20"/>
              </w:rPr>
              <w:t xml:space="preserve">Regional liaison team support; simplified application processes for pre-qualified projects; technical assistance grants</w:t>
            </w:r>
            <w:r/>
          </w:p>
        </w:tc>
      </w:tr>
      <w:tr>
        <w:trPr/>
        <w:tc>
          <w:tcPr>
            <w:tcBorders>
              <w:top w:val="single" w:color="c8ddd4" w:sz="4" w:space="0"/>
              <w:bottom w:val="single" w:color="c8ddd4" w:sz="4" w:space="0"/>
            </w:tcBorders>
            <w:tcW w:w="2632" w:type="dxa"/>
          </w:tcPr>
          <w:p>
            <w:pPr>
              <w:pStyle w:val="978"/>
              <w:pBdr/>
              <w:bidi w:val="false"/>
              <w:spacing w:after="40" w:before="40"/>
              <w:ind/>
              <w:jc w:val="left"/>
              <w:rPr/>
            </w:pPr>
            <w:r>
              <w:rPr>
                <w:color w:val="3d5c54"/>
                <w:sz w:val="20"/>
              </w:rPr>
              <w:t xml:space="preserve">Moral hazard</w:t>
            </w:r>
            <w:r/>
          </w:p>
        </w:tc>
        <w:tc>
          <w:tcPr>
            <w:tcBorders>
              <w:top w:val="single" w:color="c8ddd4" w:sz="4" w:space="0"/>
              <w:bottom w:val="single" w:color="c8ddd4" w:sz="4" w:space="0"/>
            </w:tcBorders>
            <w:tcW w:w="6393" w:type="dxa"/>
          </w:tcPr>
          <w:p>
            <w:pPr>
              <w:pStyle w:val="978"/>
              <w:pBdr/>
              <w:bidi w:val="false"/>
              <w:spacing w:after="40" w:before="40"/>
              <w:ind/>
              <w:jc w:val="left"/>
              <w:rPr/>
            </w:pPr>
            <w:r>
              <w:rPr>
                <w:color w:val="3d5c54"/>
                <w:sz w:val="20"/>
              </w:rPr>
              <w:t xml:space="preserve">Co-funding requirements (minimum 20% council contribution for mitigation); benefit-cost thresholds; post-event accountability measures</w:t>
            </w:r>
            <w:r/>
          </w:p>
        </w:tc>
      </w:tr>
      <w:tr>
        <w:trPr/>
        <w:tc>
          <w:tcPr>
            <w:tcBorders>
              <w:top w:val="single" w:color="c8ddd4" w:sz="4" w:space="0"/>
              <w:bottom w:val="single" w:color="1b5e3b" w:sz="12" w:space="0"/>
            </w:tcBorders>
            <w:tcW w:w="2632" w:type="dxa"/>
          </w:tcPr>
          <w:p>
            <w:pPr>
              <w:pStyle w:val="978"/>
              <w:pBdr/>
              <w:bidi w:val="false"/>
              <w:spacing w:after="40" w:before="40"/>
              <w:ind/>
              <w:jc w:val="left"/>
              <w:rPr/>
            </w:pPr>
            <w:r>
              <w:rPr>
                <w:color w:val="3d5c54"/>
                <w:sz w:val="20"/>
              </w:rPr>
              <w:t xml:space="preserve">Treaty compliance failures</w:t>
            </w:r>
            <w:r/>
          </w:p>
        </w:tc>
        <w:tc>
          <w:tcPr>
            <w:tcBorders>
              <w:top w:val="single" w:color="c8ddd4" w:sz="4" w:space="0"/>
              <w:bottom w:val="single" w:color="1b5e3b" w:sz="12" w:space="0"/>
            </w:tcBorders>
            <w:tcW w:w="6393" w:type="dxa"/>
          </w:tcPr>
          <w:p>
            <w:pPr>
              <w:pStyle w:val="978"/>
              <w:pBdr/>
              <w:bidi w:val="false"/>
              <w:spacing w:after="40" w:before="40"/>
              <w:ind/>
              <w:jc w:val="left"/>
              <w:rPr/>
            </w:pPr>
            <w:r>
              <w:rPr>
                <w:color w:val="3d5c54"/>
                <w:sz w:val="20"/>
              </w:rPr>
              <w:t xml:space="preserve">Statutory Maori board position; independent Treaty compliance audit; iwi/Maori advisory committee with formal consultation rights</w:t>
            </w:r>
            <w:r/>
          </w:p>
        </w:tc>
      </w:tr>
    </w:tbl>
    <w:p>
      <w:pPr>
        <w:pStyle w:val="979"/>
        <w:keepNext w:val="true"/>
        <w:keepLines w:val="true"/>
        <w:pBdr/>
        <w:bidi w:val="false"/>
        <w:spacing w:after="200" w:before="500"/>
        <w:ind/>
        <w:jc w:val="left"/>
        <w:rPr/>
      </w:pPr>
      <w:r>
        <w:t xml:space="preserve">Conclusion</w:t>
      </w:r>
      <w:bookmarkStart w:id="11" w:name="_Toc011"/>
      <w:r/>
      <w:bookmarkEnd w:id="11"/>
      <w:r/>
      <w:r/>
    </w:p>
    <w:p>
      <w:pPr>
        <w:pStyle w:val="978"/>
        <w:pBdr/>
        <w:bidi w:val="false"/>
        <w:spacing w:after="180" w:before="0" w:line="300" w:lineRule="auto"/>
        <w:ind/>
        <w:jc w:val="left"/>
        <w:rPr/>
      </w:pPr>
      <w:r>
        <w:t xml:space="preserve">The Climate Impact and Resilience Fund represents a structural transformation in how Aotearoa New Zealand finances clim</w:t>
      </w:r>
      <w:r>
        <w:t xml:space="preserve">ate adaptation. By replacing the current ad-hoc, post-disaster model with a permanent, pre-funded, actuarially sound mechanism, the CIR-ACC provides local government with the certainty and resources needed to plan for a future of intensifying climate risk.</w:t>
      </w:r>
      <w:r/>
    </w:p>
    <w:p>
      <w:pPr>
        <w:pStyle w:val="978"/>
        <w:pBdr/>
        <w:bidi w:val="false"/>
        <w:spacing w:after="180" w:before="0" w:line="300" w:lineRule="auto"/>
        <w:ind/>
        <w:jc w:val="left"/>
        <w:rPr/>
      </w:pPr>
      <w:r>
        <w:t xml:space="preserve">The implementation timeline presented here — spanning from council resolutions in 2026 to full operational maturity by 2032 — is ambitious </w:t>
      </w:r>
      <w:r>
        <w:t xml:space="preserve">but achievable. It requires sustained political commitment, effective collaboration between central and local government, meaningful partnership with iwi/Maori, and public acceptance of the levy mechanisms that underpin the fund's financial sustainability.</w:t>
      </w:r>
      <w:r/>
    </w:p>
    <w:p>
      <w:pPr>
        <w:pStyle w:val="978"/>
        <w:pBdr/>
        <w:bidi w:val="false"/>
        <w:spacing w:after="180" w:before="0" w:line="300" w:lineRule="auto"/>
        <w:ind/>
        <w:jc w:val="left"/>
        <w:rPr/>
      </w:pPr>
      <w:r>
        <w:t xml:space="preserve">The cost of</w:t>
      </w:r>
      <w:r>
        <w:t xml:space="preserve"> delay is substantial. Each year without a permanent fund locks in additional vulnerability, defers critical mitigation investments, and ensures that when the next major event strikes, communities and ratepayers will once again bear the full burden of reco</w:t>
      </w:r>
      <w:r>
        <w:t xml:space="preserve">very. </w:t>
      </w:r>
      <w:r>
        <w:t xml:space="preserve">The experience of New Zealand's Tasman District in </w:t>
      </w:r>
      <w:r>
        <w:rPr>
          <w:lang w:val="en-US"/>
        </w:rPr>
        <w:t xml:space="preserve">2025/2026 confirms that  climate change and extreme weather events are </w:t>
      </w:r>
      <w:r>
        <w:t xml:space="preserve">  a permanent, intensifying condition. The CIR-ACC is the institutional response that permanence demands.</w:t>
      </w:r>
      <w:r/>
    </w:p>
    <w:p>
      <w:pPr>
        <w:pStyle w:val="978"/>
        <w:pBdr/>
        <w:shd w:val="clear" w:color="auto" w:fill="1b5e3b"/>
        <w:bidi w:val="false"/>
        <w:spacing w:after="0" w:before="0" w:line="12000" w:lineRule="exact"/>
        <w:ind/>
        <w:jc w:val="left"/>
        <w:rPr/>
      </w:pPr>
      <w:r/>
      <w:r/>
    </w:p>
    <w:p>
      <w:pPr>
        <w:pStyle w:val="978"/>
        <w:pBdr/>
        <w:shd w:val="clear" w:color="auto" w:fill="1b5e3b"/>
        <w:bidi w:val="false"/>
        <w:spacing w:after="200" w:before="0"/>
        <w:ind/>
        <w:jc w:val="center"/>
        <w:rPr/>
      </w:pPr>
      <w:r>
        <w:rPr>
          <w:b/>
          <w:color w:val="ffffff"/>
          <w:sz w:val="48"/>
        </w:rPr>
        <w:t xml:space="preserve">Climate Resilience Starts with</w:t>
      </w:r>
      <w:r/>
    </w:p>
    <w:p>
      <w:pPr>
        <w:pStyle w:val="978"/>
        <w:pBdr/>
        <w:shd w:val="clear" w:color="auto" w:fill="1b5e3b"/>
        <w:bidi w:val="false"/>
        <w:spacing w:after="600" w:before="0"/>
        <w:ind/>
        <w:jc w:val="center"/>
        <w:rPr/>
      </w:pPr>
      <w:r>
        <w:rPr>
          <w:b/>
          <w:color w:val="ffffff"/>
          <w:sz w:val="48"/>
        </w:rPr>
        <w:t xml:space="preserve">Certainty, Not Crisis</w:t>
      </w:r>
      <w:r/>
    </w:p>
    <w:p w14:paraId="524E9107">
      <w:pPr>
        <w:pStyle w:val="978"/>
        <w:pBdr/>
        <w:shd w:val="clear" w:color="auto" w:fill="1b5e3b"/>
        <w:bidi w:val="false"/>
        <w:spacing w:after="0" w:before="0"/>
        <w:ind/>
        <w:jc w:val="center"/>
        <w:rPr/>
      </w:pPr>
      <w:r>
        <w:rPr>
          <w:color w:val="8ab69a"/>
          <w:sz w:val="16"/>
          <w:highlight w:val="none"/>
          <w:lang w:val="en-US"/>
        </w:rPr>
        <w:t xml:space="preserve">Paul  Martin: paulm100m@gmail.com</w:t>
      </w:r>
      <w:r>
        <w:rPr>
          <w:color w:val="8ab69a"/>
          <w:sz w:val="16"/>
          <w:highlight w:val="none"/>
        </w:rPr>
      </w:r>
      <w:r>
        <w:rPr>
          <w:color w:val="8ab69a"/>
          <w:sz w:val="16"/>
          <w:highlight w:val="none"/>
        </w:rPr>
      </w:r>
    </w:p>
    <w:p>
      <w:pPr>
        <w:pStyle w:val="978"/>
        <w:pBdr/>
        <w:shd w:val="clear" w:color="auto" w:fill="1b5e3b"/>
        <w:bidi w:val="false"/>
        <w:spacing w:after="0" w:before="0"/>
        <w:ind/>
        <w:jc w:val="center"/>
        <w:rPr>
          <w:color w:val="8ab69a"/>
          <w:sz w:val="16"/>
          <w:szCs w:val="16"/>
          <w:highlight w:val="none"/>
        </w:rPr>
      </w:pPr>
      <w:r>
        <w:rPr>
          <w:color w:val="8ab69a"/>
          <w:sz w:val="16"/>
        </w:rPr>
        <w:t xml:space="preserve">May 2026</w:t>
      </w:r>
      <w:r/>
    </w:p>
    <w:sectPr>
      <w:headerReference w:type="default" r:id="rId9"/>
      <w:headerReference w:type="first" r:id="rId10"/>
      <w:footerReference w:type="default" r:id="rId11"/>
      <w:footerReference w:type="first" r:id="rId12"/>
      <w:footnotePr>
        <w:numFmt w:val="decimal"/>
      </w:footnotePr>
      <w:endnotePr/>
      <w:type w:val="nextPage"/>
      <w:pgSz w:h="16838" w:orient="portrait" w:w="11906"/>
      <w:pgMar w:top="57" w:right="0" w:bottom="57" w:left="0" w:header="0" w:footer="0" w:gutter="0"/>
      <w:cols w:num="1" w:sep="0" w:space="1701" w:equalWidth="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endnote w:type="separator" w:id="-1">
    <w:p>
      <w:pPr>
        <w:pBdr/>
        <w:spacing w:after="0" w:line="240" w:lineRule="auto"/>
        <w:ind/>
        <w:rPr/>
      </w:pPr>
      <w:r>
        <w:separator/>
      </w:r>
      <w:r/>
    </w:p>
  </w:endnote>
  <w:endnote w:type="continuationSeparator" w:id="0">
    <w:p>
      <w:pPr>
        <w:pBdr/>
        <w:spacing w:after="0" w:line="240" w:lineRule="auto"/>
        <w:ind/>
        <w:rPr/>
      </w:pPr>
      <w:r>
        <w:continuationSeparator/>
      </w: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CJK SC">
    <w:panose1 w:val="020B0500000000000000"/>
  </w:font>
  <w:font w:name="Microsoft YaHei">
    <w:panose1 w:val="020F0502020204030204"/>
  </w:font>
  <w:font w:name="Arial">
    <w:panose1 w:val="020B0604020202020204"/>
  </w:font>
  <w:font w:name="Liberation Sans">
    <w:panose1 w:val="020B0604020202020204"/>
  </w:font>
  <w:font w:name="Noto Serif CJK SC">
    <w:panose1 w:val="02020400000000000000"/>
  </w:font>
  <w:font w:name="FreeSans">
    <w:panose1 w:val="020B0504020202020204"/>
  </w:font>
  <w:font w:name="Calibri">
    <w:panose1 w:val="020F0502020204030204"/>
  </w:font>
  <w:font w:name="Times New Roman">
    <w:panose1 w:val="02020603050405020304"/>
  </w:font>
  <w:font w:name="Cambria">
    <w:panose1 w:val="0204050305040603020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78"/>
      <w:pBdr/>
      <w:bidi w:val="false"/>
      <w:spacing w:after="180" w:before="0"/>
      <w:ind/>
      <w:jc w:val="center"/>
      <w:rPr/>
    </w:pPr>
    <w:r>
      <w:rPr>
        <w:color w:val="6b8f7d"/>
        <w:sz w:val="18"/>
      </w:rPr>
      <w:fldChar w:fldCharType="begin"/>
    </w:r>
    <w:r>
      <w:rPr>
        <w:color w:val="6b8f7d"/>
        <w:sz w:val="18"/>
      </w:rPr>
      <w:instrText xml:space="preserve"> PAGE </w:instrText>
    </w:r>
    <w:r>
      <w:rPr>
        <w:color w:val="6b8f7d"/>
        <w:sz w:val="18"/>
      </w:rPr>
      <w:fldChar w:fldCharType="separate"/>
    </w:r>
    <w:r>
      <w:rPr>
        <w:color w:val="6b8f7d"/>
        <w:sz w:val="18"/>
      </w:rPr>
      <w:t xml:space="preserve">16</w:t>
    </w:r>
    <w:r>
      <w:rPr>
        <w:color w:val="6b8f7d"/>
        <w:sz w:val="18"/>
      </w:rPr>
      <w:fldChar w:fldCharType="end"/>
    </w:r>
    <w:r>
      <w:rPr>
        <w:color w:val="6b8f7d"/>
        <w:sz w:val="18"/>
      </w:rPr>
      <w:t xml:space="preserve"> </w:t>
    </w:r>
    <w:r>
      <w:rPr>
        <w:color w:val="6b8f7d"/>
        <w:sz w:val="18"/>
      </w:rPr>
      <w:t xml:space="preserve">/ </w:t>
    </w:r>
    <w:r>
      <w:rPr>
        <w:color w:val="6b8f7d"/>
        <w:sz w:val="18"/>
      </w:rPr>
      <w:fldChar w:fldCharType="begin"/>
    </w:r>
    <w:r>
      <w:rPr>
        <w:color w:val="6b8f7d"/>
        <w:sz w:val="18"/>
      </w:rPr>
      <w:instrText xml:space="preserve"> NUMPAGES </w:instrText>
    </w:r>
    <w:r>
      <w:rPr>
        <w:color w:val="6b8f7d"/>
        <w:sz w:val="18"/>
      </w:rPr>
      <w:fldChar w:fldCharType="separate"/>
    </w:r>
    <w:r>
      <w:rPr>
        <w:color w:val="6b8f7d"/>
        <w:sz w:val="18"/>
      </w:rPr>
      <w:t xml:space="preserve">16</w:t>
    </w:r>
    <w:r>
      <w:rPr>
        <w:color w:val="6b8f7d"/>
        <w:sz w:val="18"/>
      </w:rPr>
      <w:fldChar w:fldCharType="end"/>
    </w: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footnote w:type="separator" w:id="-1">
    <w:p>
      <w:pPr>
        <w:pBdr/>
        <w:spacing/>
        <w:ind/>
        <w:rPr>
          <w:sz w:val="12"/>
        </w:rPr>
      </w:pPr>
      <w:r>
        <w:separator/>
      </w:r>
      <w:r>
        <w:rPr>
          <w:sz w:val="12"/>
        </w:rPr>
      </w:r>
      <w:r>
        <w:rPr>
          <w:sz w:val="12"/>
        </w:rPr>
      </w:r>
    </w:p>
  </w:footnote>
  <w:footnote w:type="continuationSeparator" w:id="0">
    <w:p>
      <w:pPr>
        <w:pBdr/>
        <w:spacing/>
        <w:ind/>
        <w:rPr>
          <w:sz w:val="12"/>
        </w:rPr>
      </w:pPr>
      <w:r>
        <w:continuationSeparator/>
      </w:r>
      <w:r>
        <w:rPr>
          <w:sz w:val="12"/>
        </w:rPr>
      </w:r>
      <w:r>
        <w:rPr>
          <w:sz w:val="12"/>
        </w:rP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Style w:val="978"/>
      <w:pBdr/>
      <w:bidi w:val="false"/>
      <w:spacing w:after="180" w:before="0"/>
      <w:ind/>
      <w:jc w:val="right"/>
      <w:rPr/>
    </w:pPr>
    <w:r>
      <w:rPr>
        <w:color w:val="6b8f7d"/>
        <w:sz w:val="18"/>
      </w:rPr>
      <w:t xml:space="preserve">National Climate Impact and Resilience Fund | Implementation Timeline</w:t>
    </w:r>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a="http://schemas.openxmlformats.org/drawingml/2006/main" xmlns:wps="http://schemas.microsoft.com/office/word/2010/wordprocessingShape" mc:Ignorable="w14 w15 wp14">
  <w:p>
    <w:pPr>
      <w:pBdr/>
      <w:spacing/>
      <w:ind/>
      <w:rPr/>
    </w:pPr>
    <w:r/>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lvl w:ilvl="0">
      <w:isLgl w:val="false"/>
      <w:lvlJc w:val="left"/>
      <w:lvlText w:val="%1."/>
      <w:numFmt w:val="decimal"/>
      <w:pPr>
        <w:pBdr/>
        <w:tabs>
          <w:tab w:val="num" w:leader="none" w:pos="0"/>
        </w:tabs>
        <w:spacing/>
        <w:ind w:hanging="360" w:left="720"/>
      </w:pPr>
      <w:rPr/>
      <w:start w:val="0"/>
      <w:suff w:val="tab"/>
    </w:lvl>
    <w:lvl w:ilvl="1">
      <w:isLgl w:val="false"/>
      <w:lvlJc w:val="left"/>
      <w:lvlText w:val="%2."/>
      <w:numFmt w:val="decimal"/>
      <w:pPr>
        <w:pBdr/>
        <w:tabs>
          <w:tab w:val="num" w:leader="none" w:pos="1080"/>
        </w:tabs>
        <w:spacing/>
        <w:ind w:hanging="360" w:left="1080"/>
      </w:pPr>
      <w:rPr/>
      <w:start w:val="1"/>
      <w:suff w:val="tab"/>
    </w:lvl>
    <w:lvl w:ilvl="2">
      <w:isLgl w:val="false"/>
      <w:lvlJc w:val="left"/>
      <w:lvlText w:val="%3."/>
      <w:numFmt w:val="decimal"/>
      <w:pPr>
        <w:pBdr/>
        <w:tabs>
          <w:tab w:val="num" w:leader="none" w:pos="1440"/>
        </w:tabs>
        <w:spacing/>
        <w:ind w:hanging="360" w:left="1440"/>
      </w:pPr>
      <w:rPr/>
      <w:start w:val="1"/>
      <w:suff w:val="tab"/>
    </w:lvl>
    <w:lvl w:ilvl="3">
      <w:isLgl w:val="false"/>
      <w:lvlJc w:val="left"/>
      <w:lvlText w:val="%4."/>
      <w:numFmt w:val="decimal"/>
      <w:pPr>
        <w:pBdr/>
        <w:tabs>
          <w:tab w:val="num" w:leader="none" w:pos="1800"/>
        </w:tabs>
        <w:spacing/>
        <w:ind w:hanging="360" w:left="1800"/>
      </w:pPr>
      <w:rPr/>
      <w:start w:val="1"/>
      <w:suff w:val="tab"/>
    </w:lvl>
    <w:lvl w:ilvl="4">
      <w:isLgl w:val="false"/>
      <w:lvlJc w:val="left"/>
      <w:lvlText w:val="%5."/>
      <w:numFmt w:val="decimal"/>
      <w:pPr>
        <w:pBdr/>
        <w:tabs>
          <w:tab w:val="num" w:leader="none" w:pos="2160"/>
        </w:tabs>
        <w:spacing/>
        <w:ind w:hanging="360" w:left="2160"/>
      </w:pPr>
      <w:rPr/>
      <w:start w:val="1"/>
      <w:suff w:val="tab"/>
    </w:lvl>
    <w:lvl w:ilvl="5">
      <w:isLgl w:val="false"/>
      <w:lvlJc w:val="left"/>
      <w:lvlText w:val="%6."/>
      <w:numFmt w:val="decimal"/>
      <w:pPr>
        <w:pBdr/>
        <w:tabs>
          <w:tab w:val="num" w:leader="none" w:pos="2520"/>
        </w:tabs>
        <w:spacing/>
        <w:ind w:hanging="360" w:left="2520"/>
      </w:pPr>
      <w:rPr/>
      <w:start w:val="1"/>
      <w:suff w:val="tab"/>
    </w:lvl>
    <w:lvl w:ilvl="6">
      <w:isLgl w:val="false"/>
      <w:lvlJc w:val="left"/>
      <w:lvlText w:val="%7."/>
      <w:numFmt w:val="decimal"/>
      <w:pPr>
        <w:pBdr/>
        <w:tabs>
          <w:tab w:val="num" w:leader="none" w:pos="2880"/>
        </w:tabs>
        <w:spacing/>
        <w:ind w:hanging="360" w:left="2880"/>
      </w:pPr>
      <w:rPr/>
      <w:start w:val="1"/>
      <w:suff w:val="tab"/>
    </w:lvl>
    <w:lvl w:ilvl="7">
      <w:isLgl w:val="false"/>
      <w:lvlJc w:val="left"/>
      <w:lvlText w:val="%8."/>
      <w:numFmt w:val="decimal"/>
      <w:pPr>
        <w:pBdr/>
        <w:tabs>
          <w:tab w:val="num" w:leader="none" w:pos="3240"/>
        </w:tabs>
        <w:spacing/>
        <w:ind w:hanging="360" w:left="3240"/>
      </w:pPr>
      <w:rPr/>
      <w:start w:val="1"/>
      <w:suff w:val="tab"/>
    </w:lvl>
    <w:lvl w:ilvl="8">
      <w:isLgl w:val="false"/>
      <w:lvlJc w:val="left"/>
      <w:lvlText w:val="%9."/>
      <w:numFmt w:val="decimal"/>
      <w:pPr>
        <w:pBdr/>
        <w:tabs>
          <w:tab w:val="num" w:leader="none" w:pos="3600"/>
        </w:tabs>
        <w:spacing/>
        <w:ind w:hanging="360" w:left="3600"/>
      </w:pPr>
      <w:rPr/>
      <w:start w:val="1"/>
      <w:suff w:val="tab"/>
    </w:lvl>
  </w:abstractNum>
  <w:abstractNum w:abstractNumId="1">
    <w:lvl w:ilvl="0">
      <w:isLgl w:val="false"/>
      <w:lvlJc w:val="left"/>
      <w:lvlText w:val=""/>
      <w:numFmt w:val="none"/>
      <w:pPr>
        <w:pBdr/>
        <w:tabs>
          <w:tab w:val="num" w:leader="none" w:pos="0"/>
        </w:tabs>
        <w:spacing/>
        <w:ind w:firstLine="0" w:left="0"/>
      </w:pPr>
      <w:rPr/>
      <w:start w:val="1"/>
      <w:suff w:val="nothing"/>
    </w:lvl>
    <w:lvl w:ilvl="1">
      <w:isLgl w:val="false"/>
      <w:lvlJc w:val="left"/>
      <w:lvlText w:val=""/>
      <w:numFmt w:val="none"/>
      <w:pPr>
        <w:pBdr/>
        <w:tabs>
          <w:tab w:val="num" w:leader="none" w:pos="0"/>
        </w:tabs>
        <w:spacing/>
        <w:ind w:firstLine="0" w:left="0"/>
      </w:pPr>
      <w:rPr/>
      <w:start w:val="1"/>
      <w:suff w:val="nothing"/>
    </w:lvl>
    <w:lvl w:ilvl="2">
      <w:isLgl w:val="false"/>
      <w:lvlJc w:val="left"/>
      <w:lvlText w:val=""/>
      <w:numFmt w:val="none"/>
      <w:pPr>
        <w:pBdr/>
        <w:tabs>
          <w:tab w:val="num" w:leader="none" w:pos="0"/>
        </w:tabs>
        <w:spacing/>
        <w:ind w:firstLine="0" w:left="0"/>
      </w:pPr>
      <w:rPr/>
      <w:start w:val="1"/>
      <w:suff w:val="nothing"/>
    </w:lvl>
    <w:lvl w:ilvl="3">
      <w:isLgl w:val="false"/>
      <w:lvlJc w:val="left"/>
      <w:lvlText w:val=""/>
      <w:numFmt w:val="none"/>
      <w:pPr>
        <w:pBdr/>
        <w:tabs>
          <w:tab w:val="num" w:leader="none" w:pos="0"/>
        </w:tabs>
        <w:spacing/>
        <w:ind w:firstLine="0" w:left="0"/>
      </w:pPr>
      <w:rPr/>
      <w:start w:val="1"/>
      <w:suff w:val="nothing"/>
    </w:lvl>
    <w:lvl w:ilvl="4">
      <w:isLgl w:val="false"/>
      <w:lvlJc w:val="left"/>
      <w:lvlText w:val=""/>
      <w:numFmt w:val="none"/>
      <w:pPr>
        <w:pBdr/>
        <w:tabs>
          <w:tab w:val="num" w:leader="none" w:pos="0"/>
        </w:tabs>
        <w:spacing/>
        <w:ind w:firstLine="0" w:left="0"/>
      </w:pPr>
      <w:rPr/>
      <w:start w:val="1"/>
      <w:suff w:val="nothing"/>
    </w:lvl>
    <w:lvl w:ilvl="5">
      <w:isLgl w:val="false"/>
      <w:lvlJc w:val="left"/>
      <w:lvlText w:val=""/>
      <w:numFmt w:val="none"/>
      <w:pPr>
        <w:pBdr/>
        <w:tabs>
          <w:tab w:val="num" w:leader="none" w:pos="0"/>
        </w:tabs>
        <w:spacing/>
        <w:ind w:firstLine="0" w:left="0"/>
      </w:pPr>
      <w:rPr/>
      <w:start w:val="1"/>
      <w:suff w:val="nothing"/>
    </w:lvl>
    <w:lvl w:ilvl="6">
      <w:isLgl w:val="false"/>
      <w:lvlJc w:val="left"/>
      <w:lvlText w:val=""/>
      <w:numFmt w:val="none"/>
      <w:pPr>
        <w:pBdr/>
        <w:tabs>
          <w:tab w:val="num" w:leader="none" w:pos="0"/>
        </w:tabs>
        <w:spacing/>
        <w:ind w:firstLine="0" w:left="0"/>
      </w:pPr>
      <w:rPr/>
      <w:start w:val="1"/>
      <w:suff w:val="nothing"/>
    </w:lvl>
    <w:lvl w:ilvl="7">
      <w:isLgl w:val="false"/>
      <w:lvlJc w:val="left"/>
      <w:lvlText w:val=""/>
      <w:numFmt w:val="none"/>
      <w:pPr>
        <w:pBdr/>
        <w:tabs>
          <w:tab w:val="num" w:leader="none" w:pos="0"/>
        </w:tabs>
        <w:spacing/>
        <w:ind w:firstLine="0" w:left="0"/>
      </w:pPr>
      <w:rPr/>
      <w:start w:val="1"/>
      <w:suff w:val="nothing"/>
    </w:lvl>
    <w:lvl w:ilvl="8">
      <w:isLgl w:val="false"/>
      <w:lvlJc w:val="left"/>
      <w:lvlText w:val=""/>
      <w:numFmt w:val="none"/>
      <w:pPr>
        <w:pBdr/>
        <w:tabs>
          <w:tab w:val="num" w:leader="none" w:pos="0"/>
        </w:tabs>
        <w:spacing/>
        <w:ind w:firstLine="0" w:left="0"/>
      </w:pPr>
      <w:rPr/>
      <w:start w:val="1"/>
      <w:suff w:val="nothing"/>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ocumentProtection/>
  <w:defaultTabStop w:val="720"/>
  <w:autoHyphenation w:val="true"/>
  <w:characterSpacingControl w:val="doNotCompress"/>
  <w:footnotePr>
    <w:pos w:val="pageBottom"/>
    <w:numFmt w:val="decimal"/>
    <w:numStart w:val="1"/>
    <w:numRestart w:val="continuous"/>
    <w:footnote w:id="-1"/>
    <w:footnote w:id="0"/>
  </w:footnotePr>
  <w:endnotePr>
    <w:pos w:val="docEnd"/>
    <w:numFmt w:val="lowerRoman"/>
    <w:numStart w:val="1"/>
    <w:numRestart w:val="continuous"/>
    <w:endnote w:id="-1"/>
    <w:endnote w:id="0"/>
  </w:end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strokecolor="000000"/>
    <o:shapelayout v:ext="edit">
      <o:idmap v:ext="edit" data="1"/>
    </o:shapelayout>
  </w:shapeDefaul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hint="default" w:ascii="Calibri" w:hAnsi="Calibri" w:eastAsia="Noto Serif CJK SC" w:cs="FreeSans"/>
        <w:sz w:val="22"/>
        <w:szCs w:val="24"/>
        <w:lang w:val="en-NZ" w:eastAsia="zh-CN" w:bidi="hi-IN"/>
      </w:rPr>
    </w:rPrDefault>
    <w:pPrDefault>
      <w:pPr>
        <w:pBdr/>
        <w:spacing/>
        <w:ind/>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table" w:styleId="800" w:default="1">
    <w:name w:val="Normal Table"/>
    <w:uiPriority w:val="99"/>
    <w:semiHidden/>
    <w:unhideWhenUsed/>
    <w:pPr>
      <w:pBdr/>
      <w:spacing/>
      <w:ind/>
    </w:pPr>
    <w:tblPr>
      <w:tblInd w:w="0" w:type="dxa"/>
      <w:tblCellMar>
        <w:left w:w="108" w:type="dxa"/>
        <w:top w:w="0" w:type="dxa"/>
        <w:right w:w="108" w:type="dxa"/>
        <w:bottom w:w="0" w:type="dxa"/>
      </w:tblCellMar>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1">
    <w:name w:val="Table Grid"/>
    <w:basedOn w:val="800"/>
    <w:uiPriority w:val="59"/>
    <w:pPr>
      <w:pBdr/>
      <w:spacing w:after="0" w:line="240" w:lineRule="auto"/>
      <w:ind/>
    </w:pPr>
    <w:tblPr>
      <w:tblInd w:w="0" w:type="dxa"/>
      <w:tblCellMar>
        <w:left w:w="108" w:type="dxa"/>
        <w:top w:w="0" w:type="dxa"/>
        <w:right w:w="108" w:type="dxa"/>
        <w:bottom w:w="0" w:type="dxa"/>
      </w:tblCellMa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2">
    <w:name w:val="Table Grid Light"/>
    <w:basedOn w:val="800"/>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pPr>
        <w:pBdr/>
        <w:spacing/>
        <w:ind/>
      </w:pPr>
      <w:tblPr>
        <w:tblBorders/>
      </w:tblPr>
      <w:tcPr>
        <w:tcBorders/>
      </w:tcPr>
    </w:tblStylePr>
    <w:tblStylePr w:type="firstRow">
      <w:pPr>
        <w:pBdr/>
        <w:spacing/>
        <w:ind/>
      </w:pPr>
      <w:tblPr>
        <w:tblBorders/>
      </w:tblPr>
      <w:tcPr>
        <w:tcBorders/>
      </w:tcPr>
    </w:tblStylePr>
    <w:tblStylePr w:type="lastCol">
      <w:pPr>
        <w:pBdr/>
        <w:spacing/>
        <w:ind/>
      </w:pPr>
      <w:tblPr>
        <w:tblBorders/>
      </w:tblPr>
      <w:tcPr>
        <w:tcBorders/>
      </w:tcPr>
    </w:tblStylePr>
    <w:tblStylePr w:type="lastRow">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3">
    <w:name w:val="Plain Table 1"/>
    <w:basedOn w:val="800"/>
    <w:uiPriority w:val="59"/>
    <w:pPr>
      <w:pBdr/>
      <w:spacing w:after="0" w:line="240" w:lineRule="auto"/>
      <w:ind/>
    </w:pPr>
    <w:tblPr>
      <w:tblInd w:w="0" w:type="dxa"/>
      <w:tblCellMar>
        <w:left w:w="108" w:type="dxa"/>
        <w:top w:w="0" w:type="dxa"/>
        <w:right w:w="108" w:type="dxa"/>
        <w:bottom w:w="0" w:type="dxa"/>
      </w:tblCellMar>
      <w:tblBorders>
        <w:top w:val="single" w:color="000000" w:themeColor="text1" w:themeTint="50" w:sz="4" w:space="0"/>
        <w:left w:val="single" w:color="000000" w:themeColor="text1" w:themeTint="50" w:sz="4" w:space="0"/>
        <w:bottom w:val="single" w:color="000000" w:themeColor="text1" w:themeTint="50" w:sz="4" w:space="0"/>
        <w:right w:val="single" w:color="000000" w:themeColor="text1" w:themeTint="50" w:sz="4" w:space="0"/>
        <w:insideH w:val="single" w:color="000000" w:themeColor="text1" w:themeTint="50" w:sz="4" w:space="0"/>
        <w:insideV w:val="single" w:color="000000" w:themeColor="text1" w:themeTint="50" w:sz="4" w:space="0"/>
      </w:tblBorders>
    </w:tblPr>
    <w:tcPr>
      <w:tcBorders/>
    </w:tcPr>
    <w:tblStylePr w:type="band1Horz">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4">
    <w:name w:val="Plain Table 2"/>
    <w:basedOn w:val="800"/>
    <w:uiPriority w:val="59"/>
    <w:pPr>
      <w:pBdr/>
      <w:spacing w:after="0" w:line="240" w:lineRule="auto"/>
      <w:ind/>
    </w:pPr>
    <w:tblPr>
      <w:tblInd w:w="0" w:type="dxa"/>
      <w:tblCellMar>
        <w:left w:w="108" w:type="dxa"/>
        <w:top w:w="0" w:type="dxa"/>
        <w:right w:w="108" w:type="dxa"/>
        <w:bottom w:w="0" w:type="dxa"/>
      </w:tblCellMar>
      <w:tblBorders>
        <w:top w:val="single" w:color="000000" w:themeColor="text1" w:sz="4" w:space="0"/>
        <w:left w:val="none" w:color="000000" w:themeColor="text1" w:sz="4" w:space="0"/>
        <w:bottom w:val="single" w:color="000000" w:themeColor="text1" w:sz="4" w:space="0"/>
        <w:right w:val="none" w:color="000000" w:themeColor="text1" w:sz="4" w:space="0"/>
      </w:tblBorders>
    </w:tblPr>
    <w:tcPr>
      <w:tcBorders/>
    </w:tcPr>
    <w:tblStylePr w:type="band1Horz">
      <w:pPr>
        <w:pBdr/>
        <w:spacing/>
        <w:ind/>
      </w:pPr>
      <w:tblPr>
        <w:tblBorders/>
      </w:tblPr>
      <w:tcPr>
        <w:tcBorders>
          <w:top w:val="single" w:color="000000" w:themeColor="text1" w:sz="4" w:space="0"/>
          <w:bottom w:val="single" w:color="000000" w:themeColor="text1" w:sz="4" w:space="0"/>
        </w:tcBorders>
      </w:tcPr>
    </w:tblStylePr>
    <w:tblStylePr w:type="band1Vert">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left w:val="single" w:color="000000" w:themeColor="text1" w:sz="4" w:space="0"/>
          <w:right w:val="single" w:color="000000" w:themeColor="text1" w:sz="4" w:space="0"/>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sz="4" w:space="0"/>
          <w:bottom w:val="single" w:color="000000" w:themeColor="text1"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5">
    <w:name w:val="Plain Table 3"/>
    <w:basedOn w:val="800"/>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aps/>
        <w:color w:val="404040"/>
      </w:rPr>
      <w:pPr>
        <w:pBdr/>
        <w:spacing/>
        <w:ind/>
      </w:pPr>
      <w:tblPr>
        <w:tblBorders/>
      </w:tblPr>
      <w:tcPr>
        <w:tcBorders>
          <w:top w:val="none" w:color="000000" w:sz="4" w:space="0"/>
          <w:left w:val="none" w:color="000000" w:sz="4" w:space="0"/>
          <w:bottom w:val="none" w:color="000000" w:sz="4" w:space="0"/>
          <w:right w:val="single" w:color="404040" w:sz="4" w:space="0"/>
        </w:tcBorders>
      </w:tcPr>
    </w:tblStylePr>
    <w:tblStylePr w:type="firstRow">
      <w:rPr>
        <w:b/>
        <w:caps/>
        <w:color w:val="404040"/>
      </w:rPr>
      <w:pPr>
        <w:pBdr/>
        <w:spacing/>
        <w:ind/>
      </w:pPr>
      <w:tblPr>
        <w:tblBorders/>
      </w:tblPr>
      <w:tcPr>
        <w:tcBorders>
          <w:top w:val="none" w:color="000000" w:sz="4" w:space="0"/>
          <w:left w:val="none" w:color="000000" w:sz="4" w:space="0"/>
          <w:bottom w:val="single" w:color="404040" w:sz="4" w:space="0"/>
          <w:right w:val="none" w:color="000000" w:sz="4" w:space="0"/>
        </w:tcBorders>
      </w:tcPr>
    </w:tblStylePr>
    <w:tblStylePr w:type="lastCol">
      <w:rPr>
        <w:b/>
        <w:caps/>
        <w:color w:val="404040"/>
      </w:rPr>
      <w:pPr>
        <w:pBdr/>
        <w:spacing/>
        <w:ind/>
      </w:pPr>
      <w:tblPr>
        <w:tblBorders/>
      </w:tblPr>
      <w:tcPr>
        <w:tcBorders/>
      </w:tcPr>
    </w:tblStylePr>
    <w:tblStylePr w:type="lastRow">
      <w:rPr>
        <w:b/>
        <w:caps/>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6">
    <w:name w:val="Plain Table 4"/>
    <w:basedOn w:val="800"/>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7">
    <w:name w:val="Plain Table 5"/>
    <w:basedOn w:val="800"/>
    <w:uiPriority w:val="99"/>
    <w:pPr>
      <w:pBdr/>
      <w:spacing w:after="0" w:line="240" w:lineRule="auto"/>
      <w:ind/>
    </w:p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1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right w:val="single" w:color="404040" w:sz="4" w:space="0"/>
        </w:tcBorders>
      </w:tcPr>
    </w:tblStylePr>
    <w:tblStylePr w:type="firstRow">
      <w:rPr>
        <w:i/>
        <w:color w:val="404040"/>
      </w:rPr>
      <w:pPr>
        <w:pBdr/>
        <w:spacing/>
        <w:ind/>
      </w:pPr>
      <w:tblPr>
        <w:tblBorders/>
      </w:tblPr>
      <w:tcPr>
        <w:shd w:val="clear" w:color="ffffff"/>
        <w:tcBorders>
          <w:left w:val="none" w:color="000000" w:sz="4" w:space="0"/>
          <w:bottom w:val="single" w:color="404040" w:sz="4" w:space="0"/>
          <w:right w:val="none" w:color="000000" w:sz="4" w:space="0"/>
        </w:tcBorders>
      </w:tcPr>
    </w:tblStylePr>
    <w:tblStylePr w:type="lastCol">
      <w:rPr>
        <w:i/>
        <w:color w:val="404040"/>
      </w:rPr>
      <w:pPr>
        <w:pBdr/>
        <w:spacing/>
        <w:ind/>
      </w:pPr>
      <w:tblPr>
        <w:tblBorders/>
      </w:tblPr>
      <w:tcPr>
        <w:shd w:val="clear" w:color="ffffff"/>
        <w:tcBorders>
          <w:left w:val="single" w:color="404040" w:sz="4" w:space="0"/>
        </w:tcBorders>
      </w:tcPr>
    </w:tblStylePr>
    <w:tblStylePr w:type="lastRow">
      <w:rPr>
        <w:i/>
        <w:color w:val="404040"/>
      </w:rPr>
      <w:pPr>
        <w:pBdr/>
        <w:spacing/>
        <w:ind/>
      </w:pPr>
      <w:tblPr>
        <w:tblBorders/>
      </w:tblPr>
      <w:tcPr>
        <w:shd w:val="clear" w:color="ffffff"/>
        <w:tcBorders>
          <w:top w:val="single" w:color="404040" w:sz="4" w:space="0"/>
          <w:left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8">
    <w:name w:val="Grid Table 1 Light"/>
    <w:basedOn w:val="800"/>
    <w:uiPriority w:val="99"/>
    <w:pPr>
      <w:pBdr/>
      <w:spacing w:after="0" w:line="240" w:lineRule="auto"/>
      <w:ind/>
    </w:pPr>
    <w:tblPr>
      <w:tblStyleRowBandSize w:val="1"/>
      <w:tblStyleColBandSize w:val="1"/>
      <w:tblInd w:w="0" w:type="dxa"/>
      <w:tbl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insideH w:val="single" w:color="000000" w:themeColor="text1" w:themeTint="67" w:sz="4" w:space="0"/>
        <w:insideV w:val="single" w:color="000000" w:themeColor="tex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67" w:sz="4" w:space="0"/>
          <w:left w:val="single" w:color="000000" w:themeColor="text1" w:themeTint="67" w:sz="4" w:space="0"/>
          <w:bottom w:val="single" w:color="000000" w:themeColor="text1" w:themeTint="67" w:sz="4" w:space="0"/>
          <w:right w:val="single" w:color="000000" w:themeColor="tex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tex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09">
    <w:name w:val="Grid Table 1 Light - Accent 1"/>
    <w:basedOn w:val="800"/>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1"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0">
    <w:name w:val="Grid Table 1 Light - Accent 2"/>
    <w:basedOn w:val="800"/>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2"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1">
    <w:name w:val="Grid Table 1 Light - Accent 3"/>
    <w:basedOn w:val="800"/>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3"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2">
    <w:name w:val="Grid Table 1 Light - Accent 4"/>
    <w:basedOn w:val="800"/>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4"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3">
    <w:name w:val="Grid Table 1 Light - Accent 5"/>
    <w:basedOn w:val="800"/>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5"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4">
    <w:name w:val="Grid Table 1 Light - Accent 6"/>
    <w:basedOn w:val="800"/>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bottom w:val="single" w:color="000000" w:themeColor="accent6" w:themeTint="95" w:sz="12"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5">
    <w:name w:val="Grid Table 2"/>
    <w:basedOn w:val="800"/>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text1" w:themeTint="9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text1" w:themeTint="9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6">
    <w:name w:val="Grid Table 2 - Accent 1"/>
    <w:basedOn w:val="800"/>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c3feba"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c3feba"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1" w:themeTint="E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1" w:themeTint="E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7">
    <w:name w:val="Grid Table 2 - Accent 2"/>
    <w:basedOn w:val="800"/>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bde6fe"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bde6fe"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2" w:themeTint="97"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8">
    <w:name w:val="Grid Table 2 - Accent 3"/>
    <w:basedOn w:val="800"/>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fed3ba"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fed3ba"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3" w:themeTint="FE"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19">
    <w:name w:val="Grid Table 2 - Accent 4"/>
    <w:basedOn w:val="800"/>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5bafe"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5bafe"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4" w:themeTint="9A"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0">
    <w:name w:val="Grid Table 2 - Accent 5"/>
    <w:basedOn w:val="800"/>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fff1c0"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fff1c0"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5"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1">
    <w:name w:val="Grid Table 2 - Accent 6"/>
    <w:basedOn w:val="800"/>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8cecd"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8cecd"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single" w:color="000000" w:themeColor="accent6" w:sz="12"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shd w:val="clear" w:color="ffffff"/>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2">
    <w:name w:val="Grid Table 3"/>
    <w:basedOn w:val="800"/>
    <w:uiPriority w:val="99"/>
    <w:pPr>
      <w:pBdr/>
      <w:spacing w:after="0" w:line="240" w:lineRule="auto"/>
      <w:ind/>
    </w:pPr>
    <w:tblPr>
      <w:tblStyleRowBandSize w:val="1"/>
      <w:tblStyleColBandSize w:val="1"/>
      <w:tblInd w:w="0" w:type="dxa"/>
      <w:tblBorders>
        <w:bottom w:val="single" w:color="000000" w:themeColor="text1" w:themeTint="95" w:sz="4" w:space="0"/>
        <w:insideH w:val="single" w:color="000000" w:themeColor="text1" w:themeTint="95" w:sz="4" w:space="0"/>
        <w:insideV w:val="single" w:color="000000" w:themeColor="text1" w:themeTint="95"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3">
    <w:name w:val="Grid Table 3 - Accent 1"/>
    <w:basedOn w:val="800"/>
    <w:uiPriority w:val="99"/>
    <w:pPr>
      <w:pBdr/>
      <w:spacing w:after="0" w:line="240" w:lineRule="auto"/>
      <w:ind/>
    </w:pPr>
    <w:tblPr>
      <w:tblStyleRowBandSize w:val="1"/>
      <w:tblStyleColBandSize w:val="1"/>
      <w:tblInd w:w="0" w:type="dxa"/>
      <w:tblBorders>
        <w:bottom w:val="single" w:color="000000" w:themeColor="accent1" w:themeTint="EA" w:sz="4" w:space="0"/>
        <w:insideH w:val="single" w:color="000000" w:themeColor="accent1" w:themeTint="EA" w:sz="4" w:space="0"/>
        <w:insideV w:val="single" w:color="000000" w:themeColor="accent1" w:themeTint="EA" w:sz="4" w:space="0"/>
      </w:tblBorders>
    </w:tblPr>
    <w:tcPr>
      <w:tcBorders/>
    </w:tcPr>
    <w:tblStylePr w:type="band1Horz">
      <w:rPr>
        <w:rFonts w:ascii="Arial" w:hAnsi="Arial"/>
        <w:color w:val="404040"/>
        <w:sz w:val="22"/>
      </w:rPr>
      <w:pPr>
        <w:pBdr/>
        <w:spacing/>
        <w:ind/>
      </w:pPr>
      <w:tblPr>
        <w:tblBorders/>
      </w:tblPr>
      <w:tcPr>
        <w:shd w:val="clear" w:color="ffffff" w:themeColor="accent1" w:themeTint="34" w:fill="c3feba" w:themeFill="accent1" w:themeFillTint="34"/>
        <w:tcBorders/>
      </w:tcPr>
    </w:tblStylePr>
    <w:tblStylePr w:type="band1Vert">
      <w:rPr>
        <w:rFonts w:ascii="Arial" w:hAnsi="Arial"/>
        <w:color w:val="404040"/>
        <w:sz w:val="22"/>
      </w:rPr>
      <w:pPr>
        <w:pBdr/>
        <w:spacing/>
        <w:ind/>
      </w:pPr>
      <w:tblPr>
        <w:tblBorders/>
      </w:tblPr>
      <w:tcPr>
        <w:shd w:val="clear" w:color="ffffff" w:themeColor="accent1" w:themeTint="34" w:fill="c3feba" w:themeFill="accen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4">
    <w:name w:val="Grid Table 3 - Accent 2"/>
    <w:basedOn w:val="800"/>
    <w:uiPriority w:val="99"/>
    <w:pPr>
      <w:pBdr/>
      <w:spacing w:after="0" w:line="240" w:lineRule="auto"/>
      <w:ind/>
    </w:pPr>
    <w:tblPr>
      <w:tblStyleRowBandSize w:val="1"/>
      <w:tblStyleColBandSize w:val="1"/>
      <w:tblInd w:w="0" w:type="dxa"/>
      <w:tblBorders>
        <w:bottom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bde6fe"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bde6fe"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5">
    <w:name w:val="Grid Table 3 - Accent 3"/>
    <w:basedOn w:val="800"/>
    <w:uiPriority w:val="99"/>
    <w:pPr>
      <w:pBdr/>
      <w:spacing w:after="0" w:line="240" w:lineRule="auto"/>
      <w:ind/>
    </w:pPr>
    <w:tblPr>
      <w:tblStyleRowBandSize w:val="1"/>
      <w:tblStyleColBandSize w:val="1"/>
      <w:tblInd w:w="0" w:type="dxa"/>
      <w:tblBorders>
        <w:bottom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fed3ba"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fed3ba"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6">
    <w:name w:val="Grid Table 3 - Accent 4"/>
    <w:basedOn w:val="800"/>
    <w:uiPriority w:val="99"/>
    <w:pPr>
      <w:pBdr/>
      <w:spacing w:after="0" w:line="240" w:lineRule="auto"/>
      <w:ind/>
    </w:pPr>
    <w:tblPr>
      <w:tblStyleRowBandSize w:val="1"/>
      <w:tblStyleColBandSize w:val="1"/>
      <w:tblInd w:w="0" w:type="dxa"/>
      <w:tblBorders>
        <w:bottom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5bafe"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5bafe"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7">
    <w:name w:val="Grid Table 3 - Accent 5"/>
    <w:basedOn w:val="800"/>
    <w:uiPriority w:val="99"/>
    <w:pPr>
      <w:pBdr/>
      <w:spacing w:after="0" w:line="240" w:lineRule="auto"/>
      <w:ind/>
    </w:pPr>
    <w:tblPr>
      <w:tblStyleRowBandSize w:val="1"/>
      <w:tblStyleColBandSize w:val="1"/>
      <w:tblInd w:w="0" w:type="dxa"/>
      <w:tblBorders>
        <w:bottom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fff1c0"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fff1c0"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8">
    <w:name w:val="Grid Table 3 - Accent 6"/>
    <w:basedOn w:val="800"/>
    <w:uiPriority w:val="99"/>
    <w:pPr>
      <w:pBdr/>
      <w:spacing w:after="0" w:line="240" w:lineRule="auto"/>
      <w:ind/>
    </w:pPr>
    <w:tblPr>
      <w:tblStyleRowBandSize w:val="1"/>
      <w:tblStyleColBandSize w:val="1"/>
      <w:tblInd w:w="0" w:type="dxa"/>
      <w:tblBorders>
        <w:bottom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8cecd"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8cecd"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i/>
        <w:color w:val="404040"/>
      </w:rPr>
      <w:pPr>
        <w:pBdr/>
        <w:spacing/>
        <w:ind/>
        <w:jc w:val="right"/>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fir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Col">
      <w:rPr>
        <w:i/>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lastRow">
      <w:rPr>
        <w:b/>
        <w:color w:val="404040"/>
      </w:rPr>
      <w:pPr>
        <w:pBdr/>
        <w:spacing/>
        <w:ind/>
      </w:pPr>
      <w:tblPr>
        <w:tblBorders/>
      </w:tblPr>
      <w:tcPr>
        <w:shd w:val="clear" w:color="ffffff"/>
        <w:tcBorders>
          <w:top w:val="none" w:color="00000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29">
    <w:name w:val="Grid Table 4"/>
    <w:basedOn w:val="800"/>
    <w:uiPriority w:val="59"/>
    <w:pPr>
      <w:pBdr/>
      <w:spacing w:after="0" w:line="240" w:lineRule="auto"/>
      <w:ind/>
    </w:pPr>
    <w:tblPr>
      <w:tblStyleRowBandSize w:val="1"/>
      <w:tblStyleColBandSize w:val="1"/>
      <w:tblInd w:w="0" w:type="dxa"/>
      <w:tblBorders>
        <w:top w:val="single" w:color="000000" w:themeColor="text1" w:themeTint="90" w:sz="4" w:space="0"/>
        <w:left w:val="single" w:color="000000" w:themeColor="text1" w:themeTint="90" w:sz="4" w:space="0"/>
        <w:bottom w:val="single" w:color="000000" w:themeColor="text1" w:themeTint="90" w:sz="4" w:space="0"/>
        <w:right w:val="single" w:color="000000" w:themeColor="text1" w:themeTint="90" w:sz="4" w:space="0"/>
        <w:insideH w:val="single" w:color="000000" w:themeColor="text1" w:themeTint="90" w:sz="4" w:space="0"/>
        <w:insideV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1Vert">
      <w:rPr>
        <w:rFonts w:ascii="Arial" w:hAnsi="Arial"/>
        <w:color w:val="404040"/>
        <w:sz w:val="22"/>
      </w:rPr>
      <w:pPr>
        <w:pBdr/>
        <w:spacing/>
        <w:ind/>
      </w:pPr>
      <w:tblPr>
        <w:tblBorders/>
      </w:tblPr>
      <w:tcPr>
        <w:shd w:val="clear" w:color="ffffff" w:themeColor="text1" w:themeTint="34" w:fill="cbcbcb" w:themeFill="text1"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op w:val="single" w:color="000000" w:themeColor="text1" w:sz="4" w:space="0"/>
          <w:left w:val="single" w:color="000000" w:themeColor="text1" w:sz="4" w:space="0"/>
          <w:bottom w:val="single" w:color="000000" w:themeColor="text1" w:sz="4" w:space="0"/>
          <w:right w:val="single" w:color="000000" w:themeColor="text1"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0">
    <w:name w:val="Grid Table 4 - Accent 1"/>
    <w:basedOn w:val="800"/>
    <w:uiPriority w:val="5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insideV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32" w:fill="c5febd" w:themeFill="accent1" w:themeFillTint="32"/>
        <w:tcBorders/>
      </w:tcPr>
    </w:tblStylePr>
    <w:tblStylePr w:type="band1Vert">
      <w:rPr>
        <w:rFonts w:ascii="Arial" w:hAnsi="Arial"/>
        <w:color w:val="404040"/>
        <w:sz w:val="22"/>
      </w:rPr>
      <w:pPr>
        <w:pBdr/>
        <w:spacing/>
        <w:ind/>
      </w:pPr>
      <w:tblPr>
        <w:tblBorders/>
      </w:tblPr>
      <w:tcPr>
        <w:shd w:val="clear" w:color="ffffff" w:themeColor="accent1" w:themeTint="32" w:fill="c5febd" w:themeFill="accent1"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themeTint="EA" w:fill="1cbf04" w:themeFill="accent1" w:themeFillTint="EA"/>
        <w:tcBorders>
          <w:top w:val="single" w:color="000000" w:themeColor="accent1" w:themeTint="EA" w:sz="4" w:space="0"/>
          <w:left w:val="single" w:color="000000" w:themeColor="accent1" w:themeTint="EA" w:sz="4" w:space="0"/>
          <w:bottom w:val="single" w:color="000000" w:themeColor="accent1" w:themeTint="EA" w:sz="4" w:space="0"/>
          <w:right w:val="single" w:color="000000" w:themeColor="accent1" w:themeTint="E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themeTint="E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1">
    <w:name w:val="Grid Table 4 - Accent 2"/>
    <w:basedOn w:val="800"/>
    <w:uiPriority w:val="5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insideV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32" w:fill="bde6fe" w:themeFill="accent2" w:themeFillTint="32"/>
        <w:tcBorders/>
      </w:tcPr>
    </w:tblStylePr>
    <w:tblStylePr w:type="band1Vert">
      <w:rPr>
        <w:rFonts w:ascii="Arial" w:hAnsi="Arial"/>
        <w:color w:val="404040"/>
        <w:sz w:val="22"/>
      </w:rPr>
      <w:pPr>
        <w:pBdr/>
        <w:spacing/>
        <w:ind/>
      </w:pPr>
      <w:tblPr>
        <w:tblBorders/>
      </w:tblPr>
      <w:tcPr>
        <w:shd w:val="clear" w:color="ffffff" w:themeColor="accent2" w:themeTint="32" w:fill="bde6fe" w:themeFill="accent2" w:themeFillTint="32"/>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37b4fb" w:themeFill="accent2" w:themeFillTint="97"/>
        <w:tc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2">
    <w:name w:val="Grid Table 4 - Accent 3"/>
    <w:basedOn w:val="800"/>
    <w:uiPriority w:val="5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insideV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34" w:fill="fed3ba" w:themeFill="accent3" w:themeFillTint="34"/>
        <w:tcBorders/>
      </w:tcPr>
    </w:tblStylePr>
    <w:tblStylePr w:type="band1Vert">
      <w:rPr>
        <w:rFonts w:ascii="Arial" w:hAnsi="Arial"/>
        <w:color w:val="404040"/>
        <w:sz w:val="22"/>
      </w:rPr>
      <w:pPr>
        <w:pBdr/>
        <w:spacing/>
        <w:ind/>
      </w:pPr>
      <w:tblPr>
        <w:tblBorders/>
      </w:tblPr>
      <w:tcPr>
        <w:shd w:val="clear" w:color="ffffff" w:themeColor="accent3" w:themeTint="34" w:fill="fed3ba" w:themeFill="accent3"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FE" w:fill="a43f03" w:themeFill="accent3" w:themeFillTint="FE"/>
        <w:tc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themeTint="FE"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3">
    <w:name w:val="Grid Table 4 - Accent 4"/>
    <w:basedOn w:val="800"/>
    <w:uiPriority w:val="5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insideV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34" w:fill="f5bafe" w:themeFill="accent4" w:themeFillTint="34"/>
        <w:tcBorders/>
      </w:tcPr>
    </w:tblStylePr>
    <w:tblStylePr w:type="band1Vert">
      <w:rPr>
        <w:rFonts w:ascii="Arial" w:hAnsi="Arial"/>
        <w:color w:val="404040"/>
        <w:sz w:val="22"/>
      </w:rPr>
      <w:pPr>
        <w:pBdr/>
        <w:spacing/>
        <w:ind/>
      </w:pPr>
      <w:tblPr>
        <w:tblBorders/>
      </w:tblPr>
      <w:tcPr>
        <w:shd w:val="clear" w:color="ffffff" w:themeColor="accent4" w:themeTint="34" w:fill="f5bafe" w:themeFill="accent4"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e133fb" w:themeFill="accent4" w:themeFillTint="9A"/>
        <w:tc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4">
    <w:name w:val="Grid Table 4 - Accent 5"/>
    <w:basedOn w:val="800"/>
    <w:uiPriority w:val="5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34" w:fill="fff1c0" w:themeFill="accent5" w:themeFillTint="34"/>
        <w:tcBorders/>
      </w:tcPr>
    </w:tblStylePr>
    <w:tblStylePr w:type="band1Vert">
      <w:rPr>
        <w:rFonts w:ascii="Arial" w:hAnsi="Arial"/>
        <w:color w:val="404040"/>
        <w:sz w:val="22"/>
      </w:rPr>
      <w:pPr>
        <w:pBdr/>
        <w:spacing/>
        <w:ind/>
      </w:pPr>
      <w:tblPr>
        <w:tblBorders/>
      </w:tblPr>
      <w:tcPr>
        <w:shd w:val="clear" w:color="ffffff" w:themeColor="accent5" w:themeTint="34" w:fill="fff1c0" w:themeFill="accent5"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c99c00" w:themeFill="accent5"/>
        <w:tcBorders>
          <w:top w:val="single" w:color="000000" w:themeColor="accent5" w:sz="4" w:space="0"/>
          <w:left w:val="single" w:color="000000" w:themeColor="accent5" w:sz="4" w:space="0"/>
          <w:bottom w:val="single" w:color="000000" w:themeColor="accent5" w:sz="4" w:space="0"/>
          <w:right w:val="single" w:color="000000" w:themeColor="accent5"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5">
    <w:name w:val="Grid Table 4 - Accent 6"/>
    <w:basedOn w:val="800"/>
    <w:uiPriority w:val="5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34" w:fill="f8cecd" w:themeFill="accent6" w:themeFillTint="34"/>
        <w:tcBorders/>
      </w:tcPr>
    </w:tblStylePr>
    <w:tblStylePr w:type="band1Vert">
      <w:rPr>
        <w:rFonts w:ascii="Arial" w:hAnsi="Arial"/>
        <w:color w:val="404040"/>
        <w:sz w:val="22"/>
      </w:rPr>
      <w:pPr>
        <w:pBdr/>
        <w:spacing/>
        <w:ind/>
      </w:pPr>
      <w:tblPr>
        <w:tblBorders/>
      </w:tblPr>
      <w:tcPr>
        <w:shd w:val="clear" w:color="ffffff" w:themeColor="accent6" w:themeTint="34" w:fill="f8cecd" w:themeFill="accent6" w:themeFillTint="34"/>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c9211e" w:themeFill="accent6"/>
        <w:tcBorders>
          <w:top w:val="single" w:color="000000" w:themeColor="accent6" w:sz="4" w:space="0"/>
          <w:left w:val="single" w:color="000000" w:themeColor="accent6" w:sz="4" w:space="0"/>
          <w:bottom w:val="single" w:color="000000" w:themeColor="accent6" w:sz="4" w:space="0"/>
          <w:right w:val="single" w:color="000000" w:themeColor="accent6"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6">
    <w:name w:val="Grid Table 5 Dark"/>
    <w:basedOn w:val="80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text1" w:themeTint="40" w:fill="bfbfbf" w:themeFill="text1" w:themeFillTint="40"/>
    </w:tblPr>
    <w:tcPr>
      <w:tcBorders/>
    </w:tcPr>
    <w:tblStylePr w:type="band1Horz">
      <w:pPr>
        <w:pBdr/>
        <w:spacing/>
        <w:ind/>
      </w:pPr>
      <w:tblPr>
        <w:tblBorders/>
      </w:tblPr>
      <w:tcPr>
        <w:shd w:val="clear" w:color="ffffff" w:themeColor="text1" w:themeTint="75" w:fill="8a8a8a" w:themeFill="text1" w:themeFillTint="75"/>
        <w:tcBorders/>
      </w:tcPr>
    </w:tblStylePr>
    <w:tblStylePr w:type="band1Vert">
      <w:pPr>
        <w:pBdr/>
        <w:spacing/>
        <w:ind/>
      </w:pPr>
      <w:tblPr>
        <w:tblBorders/>
      </w:tblPr>
      <w:tcPr>
        <w:shd w:val="clear" w:color="ffffff" w:themeColor="text1" w:themeTint="75" w:fill="8a8a8a" w:themeFill="tex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text1" w:fill="000000" w:themeFill="text1"/>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rFonts w:ascii="Arial" w:hAnsi="Arial"/>
        <w:b/>
        <w:color w:val="ffffff"/>
        <w:sz w:val="22"/>
      </w:rPr>
      <w:pPr>
        <w:pBdr/>
        <w:spacing/>
        <w:ind/>
      </w:pPr>
      <w:tblPr>
        <w:tblBorders/>
      </w:tblPr>
      <w:tcPr>
        <w:shd w:val="clear" w:color="ffffff" w:themeColor="text1" w:fill="000000" w:themeFill="text1"/>
        <w:tcBorders/>
      </w:tcPr>
    </w:tblStylePr>
    <w:tblStylePr w:type="lastRow">
      <w:rPr>
        <w:rFonts w:ascii="Arial" w:hAnsi="Arial"/>
        <w:b/>
        <w:color w:val="ffffff"/>
        <w:sz w:val="22"/>
      </w:rPr>
      <w:pPr>
        <w:pBdr/>
        <w:spacing/>
        <w:ind/>
      </w:pPr>
      <w:tblPr>
        <w:tblBorders/>
      </w:tblPr>
      <w:tcPr>
        <w:shd w:val="clear" w:color="ffffff" w:themeColor="text1" w:fill="000000" w:themeFill="tex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7">
    <w:name w:val="Grid Table 5 Dark- Accent 1"/>
    <w:basedOn w:val="80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1" w:themeTint="34" w:fill="c3feba" w:themeFill="accent1" w:themeFillTint="34"/>
    </w:tblPr>
    <w:tcPr>
      <w:tcBorders/>
    </w:tcPr>
    <w:tblStylePr w:type="band1Horz">
      <w:pPr>
        <w:pBdr/>
        <w:spacing/>
        <w:ind/>
      </w:pPr>
      <w:tblPr>
        <w:tblBorders/>
      </w:tblPr>
      <w:tcPr>
        <w:shd w:val="clear" w:color="ffffff" w:themeColor="accent1" w:themeTint="75" w:fill="78fc64" w:themeFill="accent1" w:themeFillTint="75"/>
        <w:tcBorders/>
      </w:tcPr>
    </w:tblStylePr>
    <w:tblStylePr w:type="band1Vert">
      <w:pPr>
        <w:pBdr/>
        <w:spacing/>
        <w:ind/>
      </w:pPr>
      <w:tblPr>
        <w:tblBorders/>
      </w:tblPr>
      <w:tcPr>
        <w:shd w:val="clear" w:color="ffffff" w:themeColor="accent1" w:themeTint="75" w:fill="78fc64" w:themeFill="accent1"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1" w:fill="18a303" w:themeFill="accent1"/>
        <w:tcBorders/>
      </w:tcPr>
    </w:tblStylePr>
    <w:tblStylePr w:type="firstRow">
      <w:rPr>
        <w:rFonts w:ascii="Arial" w:hAnsi="Arial"/>
        <w:b/>
        <w:color w:val="ffffff"/>
        <w:sz w:val="22"/>
      </w:rPr>
      <w:pPr>
        <w:pBdr/>
        <w:spacing/>
        <w:ind/>
      </w:pPr>
      <w:tblPr>
        <w:tblBorders/>
      </w:tblPr>
      <w:tcPr>
        <w:shd w:val="clear" w:color="ffffff" w:themeColor="accent1" w:fill="18a303" w:themeFill="accent1"/>
        <w:tcBorders/>
      </w:tcPr>
    </w:tblStylePr>
    <w:tblStylePr w:type="lastCol">
      <w:rPr>
        <w:rFonts w:ascii="Arial" w:hAnsi="Arial"/>
        <w:b/>
        <w:color w:val="ffffff"/>
        <w:sz w:val="22"/>
      </w:rPr>
      <w:pPr>
        <w:pBdr/>
        <w:spacing/>
        <w:ind/>
      </w:pPr>
      <w:tblPr>
        <w:tblBorders/>
      </w:tblPr>
      <w:tcPr>
        <w:shd w:val="clear" w:color="ffffff" w:themeColor="accent1" w:fill="18a303" w:themeFill="accent1"/>
        <w:tcBorders/>
      </w:tcPr>
    </w:tblStylePr>
    <w:tblStylePr w:type="lastRow">
      <w:rPr>
        <w:rFonts w:ascii="Arial" w:hAnsi="Arial"/>
        <w:b/>
        <w:color w:val="ffffff"/>
        <w:sz w:val="22"/>
      </w:rPr>
      <w:pPr>
        <w:pBdr/>
        <w:spacing/>
        <w:ind/>
      </w:pPr>
      <w:tblPr>
        <w:tblBorders/>
      </w:tblPr>
      <w:tcPr>
        <w:shd w:val="clear" w:color="ffffff" w:themeColor="accent1" w:fill="18a303" w:themeFill="accent1"/>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8">
    <w:name w:val="Grid Table 5 Dark - Accent 2"/>
    <w:basedOn w:val="80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2" w:themeTint="32" w:fill="bde6fe" w:themeFill="accent2" w:themeFillTint="32"/>
    </w:tblPr>
    <w:tcPr>
      <w:tcBorders/>
    </w:tcPr>
    <w:tblStylePr w:type="band1Horz">
      <w:pPr>
        <w:pBdr/>
        <w:spacing/>
        <w:ind/>
      </w:pPr>
      <w:tblPr>
        <w:tblBorders/>
      </w:tblPr>
      <w:tcPr>
        <w:shd w:val="clear" w:color="ffffff" w:themeColor="accent2" w:themeTint="75" w:fill="64c5fc" w:themeFill="accent2" w:themeFillTint="75"/>
        <w:tcBorders/>
      </w:tcPr>
    </w:tblStylePr>
    <w:tblStylePr w:type="band1Vert">
      <w:pPr>
        <w:pBdr/>
        <w:spacing/>
        <w:ind/>
      </w:pPr>
      <w:tblPr>
        <w:tblBorders/>
      </w:tblPr>
      <w:tcPr>
        <w:shd w:val="clear" w:color="ffffff" w:themeColor="accent2" w:themeTint="75" w:fill="64c5fc" w:themeFill="accent2"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2" w:fill="0369a3" w:themeFill="accent2"/>
        <w:tcBorders/>
      </w:tcPr>
    </w:tblStylePr>
    <w:tblStylePr w:type="firstRow">
      <w:rPr>
        <w:rFonts w:ascii="Arial" w:hAnsi="Arial"/>
        <w:b/>
        <w:color w:val="ffffff"/>
        <w:sz w:val="22"/>
      </w:rPr>
      <w:pPr>
        <w:pBdr/>
        <w:spacing/>
        <w:ind/>
      </w:pPr>
      <w:tblPr>
        <w:tblBorders/>
      </w:tblPr>
      <w:tcPr>
        <w:shd w:val="clear" w:color="ffffff" w:themeColor="accent2" w:fill="0369a3" w:themeFill="accent2"/>
        <w:tcBorders/>
      </w:tcPr>
    </w:tblStylePr>
    <w:tblStylePr w:type="lastCol">
      <w:rPr>
        <w:rFonts w:ascii="Arial" w:hAnsi="Arial"/>
        <w:b/>
        <w:color w:val="ffffff"/>
        <w:sz w:val="22"/>
      </w:rPr>
      <w:pPr>
        <w:pBdr/>
        <w:spacing/>
        <w:ind/>
      </w:pPr>
      <w:tblPr>
        <w:tblBorders/>
      </w:tblPr>
      <w:tcPr>
        <w:shd w:val="clear" w:color="ffffff" w:themeColor="accent2" w:fill="0369a3" w:themeFill="accent2"/>
        <w:tcBorders/>
      </w:tcPr>
    </w:tblStylePr>
    <w:tblStylePr w:type="lastRow">
      <w:rPr>
        <w:rFonts w:ascii="Arial" w:hAnsi="Arial"/>
        <w:b/>
        <w:color w:val="ffffff"/>
        <w:sz w:val="22"/>
      </w:rPr>
      <w:pPr>
        <w:pBdr/>
        <w:spacing/>
        <w:ind/>
      </w:pPr>
      <w:tblPr>
        <w:tblBorders/>
      </w:tblPr>
      <w:tcPr>
        <w:shd w:val="clear" w:color="ffffff" w:themeColor="accent2" w:fill="0369a3" w:themeFill="accent2"/>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39">
    <w:name w:val="Grid Table 5 Dark - Accent 3"/>
    <w:basedOn w:val="80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3" w:themeTint="34" w:fill="fed3ba" w:themeFill="accent3" w:themeFillTint="34"/>
    </w:tblPr>
    <w:tcPr>
      <w:tcBorders/>
    </w:tcPr>
    <w:tblStylePr w:type="band1Horz">
      <w:pPr>
        <w:pBdr/>
        <w:spacing/>
        <w:ind/>
      </w:pPr>
      <w:tblPr>
        <w:tblBorders/>
      </w:tblPr>
      <w:tcPr>
        <w:shd w:val="clear" w:color="ffffff" w:themeColor="accent3" w:themeTint="75" w:fill="fc9c64" w:themeFill="accent3" w:themeFillTint="75"/>
        <w:tcBorders/>
      </w:tcPr>
    </w:tblStylePr>
    <w:tblStylePr w:type="band1Vert">
      <w:pPr>
        <w:pBdr/>
        <w:spacing/>
        <w:ind/>
      </w:pPr>
      <w:tblPr>
        <w:tblBorders/>
      </w:tblPr>
      <w:tcPr>
        <w:shd w:val="clear" w:color="ffffff" w:themeColor="accent3" w:themeTint="75" w:fill="fc9c64" w:themeFill="accent3"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3" w:fill="a33e03" w:themeFill="accent3"/>
        <w:tcBorders/>
      </w:tcPr>
    </w:tblStylePr>
    <w:tblStylePr w:type="firstRow">
      <w:rPr>
        <w:rFonts w:ascii="Arial" w:hAnsi="Arial"/>
        <w:b/>
        <w:color w:val="ffffff"/>
        <w:sz w:val="22"/>
      </w:rPr>
      <w:pPr>
        <w:pBdr/>
        <w:spacing/>
        <w:ind/>
      </w:pPr>
      <w:tblPr>
        <w:tblBorders/>
      </w:tblPr>
      <w:tcPr>
        <w:shd w:val="clear" w:color="ffffff" w:themeColor="accent3" w:fill="a33e03" w:themeFill="accent3"/>
        <w:tcBorders/>
      </w:tcPr>
    </w:tblStylePr>
    <w:tblStylePr w:type="lastCol">
      <w:rPr>
        <w:rFonts w:ascii="Arial" w:hAnsi="Arial"/>
        <w:b/>
        <w:color w:val="ffffff"/>
        <w:sz w:val="22"/>
      </w:rPr>
      <w:pPr>
        <w:pBdr/>
        <w:spacing/>
        <w:ind/>
      </w:pPr>
      <w:tblPr>
        <w:tblBorders/>
      </w:tblPr>
      <w:tcPr>
        <w:shd w:val="clear" w:color="ffffff" w:themeColor="accent3" w:fill="a33e03" w:themeFill="accent3"/>
        <w:tcBorders/>
      </w:tcPr>
    </w:tblStylePr>
    <w:tblStylePr w:type="lastRow">
      <w:rPr>
        <w:rFonts w:ascii="Arial" w:hAnsi="Arial"/>
        <w:b/>
        <w:color w:val="ffffff"/>
        <w:sz w:val="22"/>
      </w:rPr>
      <w:pPr>
        <w:pBdr/>
        <w:spacing/>
        <w:ind/>
      </w:pPr>
      <w:tblPr>
        <w:tblBorders/>
      </w:tblPr>
      <w:tcPr>
        <w:shd w:val="clear" w:color="ffffff" w:themeColor="accent3" w:fill="a33e03" w:themeFill="accent3"/>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0">
    <w:name w:val="Grid Table 5 Dark- Accent 4"/>
    <w:basedOn w:val="80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4" w:themeTint="34" w:fill="f5bafe" w:themeFill="accent4" w:themeFillTint="34"/>
    </w:tblPr>
    <w:tcPr>
      <w:tcBorders/>
    </w:tcPr>
    <w:tblStylePr w:type="band1Horz">
      <w:pPr>
        <w:pBdr/>
        <w:spacing/>
        <w:ind/>
      </w:pPr>
      <w:tblPr>
        <w:tblBorders/>
      </w:tblPr>
      <w:tcPr>
        <w:shd w:val="clear" w:color="ffffff" w:themeColor="accent4" w:themeTint="75" w:fill="e864fc" w:themeFill="accent4" w:themeFillTint="75"/>
        <w:tcBorders/>
      </w:tcPr>
    </w:tblStylePr>
    <w:tblStylePr w:type="band1Vert">
      <w:pPr>
        <w:pBdr/>
        <w:spacing/>
        <w:ind/>
      </w:pPr>
      <w:tblPr>
        <w:tblBorders/>
      </w:tblPr>
      <w:tcPr>
        <w:shd w:val="clear" w:color="ffffff" w:themeColor="accent4" w:themeTint="75" w:fill="e864fc" w:themeFill="accent4"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4" w:fill="8e03a3" w:themeFill="accent4"/>
        <w:tcBorders/>
      </w:tcPr>
    </w:tblStylePr>
    <w:tblStylePr w:type="firstRow">
      <w:rPr>
        <w:rFonts w:ascii="Arial" w:hAnsi="Arial"/>
        <w:b/>
        <w:color w:val="ffffff"/>
        <w:sz w:val="22"/>
      </w:rPr>
      <w:pPr>
        <w:pBdr/>
        <w:spacing/>
        <w:ind/>
      </w:pPr>
      <w:tblPr>
        <w:tblBorders/>
      </w:tblPr>
      <w:tcPr>
        <w:shd w:val="clear" w:color="ffffff" w:themeColor="accent4" w:fill="8e03a3" w:themeFill="accent4"/>
        <w:tcBorders/>
      </w:tcPr>
    </w:tblStylePr>
    <w:tblStylePr w:type="lastCol">
      <w:rPr>
        <w:rFonts w:ascii="Arial" w:hAnsi="Arial"/>
        <w:b/>
        <w:color w:val="ffffff"/>
        <w:sz w:val="22"/>
      </w:rPr>
      <w:pPr>
        <w:pBdr/>
        <w:spacing/>
        <w:ind/>
      </w:pPr>
      <w:tblPr>
        <w:tblBorders/>
      </w:tblPr>
      <w:tcPr>
        <w:shd w:val="clear" w:color="ffffff" w:themeColor="accent4" w:fill="8e03a3" w:themeFill="accent4"/>
        <w:tcBorders/>
      </w:tcPr>
    </w:tblStylePr>
    <w:tblStylePr w:type="lastRow">
      <w:rPr>
        <w:rFonts w:ascii="Arial" w:hAnsi="Arial"/>
        <w:b/>
        <w:color w:val="ffffff"/>
        <w:sz w:val="22"/>
      </w:rPr>
      <w:pPr>
        <w:pBdr/>
        <w:spacing/>
        <w:ind/>
      </w:pPr>
      <w:tblPr>
        <w:tblBorders/>
      </w:tblPr>
      <w:tcPr>
        <w:shd w:val="clear" w:color="ffffff" w:themeColor="accent4" w:fill="8e03a3" w:themeFill="accent4"/>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1">
    <w:name w:val="Grid Table 5 Dark - Accent 5"/>
    <w:basedOn w:val="80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5" w:themeTint="34" w:fill="fff1c0" w:themeFill="accent5" w:themeFillTint="34"/>
    </w:tblPr>
    <w:tcPr>
      <w:tcBorders/>
    </w:tcPr>
    <w:tblStylePr w:type="band1Horz">
      <w:pPr>
        <w:pBdr/>
        <w:spacing/>
        <w:ind/>
      </w:pPr>
      <w:tblPr>
        <w:tblBorders/>
      </w:tblPr>
      <w:tcPr>
        <w:shd w:val="clear" w:color="ffffff" w:themeColor="accent5" w:themeTint="75" w:fill="ffdf71" w:themeFill="accent5" w:themeFillTint="75"/>
        <w:tcBorders/>
      </w:tcPr>
    </w:tblStylePr>
    <w:tblStylePr w:type="band1Vert">
      <w:pPr>
        <w:pBdr/>
        <w:spacing/>
        <w:ind/>
      </w:pPr>
      <w:tblPr>
        <w:tblBorders/>
      </w:tblPr>
      <w:tcPr>
        <w:shd w:val="clear" w:color="ffffff" w:themeColor="accent5" w:themeTint="75" w:fill="ffdf71" w:themeFill="accent5"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5" w:fill="c99c00" w:themeFill="accent5"/>
        <w:tcBorders/>
      </w:tcPr>
    </w:tblStylePr>
    <w:tblStylePr w:type="firstRow">
      <w:rPr>
        <w:rFonts w:ascii="Arial" w:hAnsi="Arial"/>
        <w:b/>
        <w:color w:val="ffffff"/>
        <w:sz w:val="22"/>
      </w:rPr>
      <w:pPr>
        <w:pBdr/>
        <w:spacing/>
        <w:ind/>
      </w:pPr>
      <w:tblPr>
        <w:tblBorders/>
      </w:tblPr>
      <w:tcPr>
        <w:shd w:val="clear" w:color="ffffff" w:themeColor="accent5" w:fill="c99c00" w:themeFill="accent5"/>
        <w:tcBorders/>
      </w:tcPr>
    </w:tblStylePr>
    <w:tblStylePr w:type="lastCol">
      <w:rPr>
        <w:rFonts w:ascii="Arial" w:hAnsi="Arial"/>
        <w:b/>
        <w:color w:val="ffffff"/>
        <w:sz w:val="22"/>
      </w:rPr>
      <w:pPr>
        <w:pBdr/>
        <w:spacing/>
        <w:ind/>
      </w:pPr>
      <w:tblPr>
        <w:tblBorders/>
      </w:tblPr>
      <w:tcPr>
        <w:shd w:val="clear" w:color="ffffff" w:themeColor="accent5" w:fill="c99c00" w:themeFill="accent5"/>
        <w:tcBorders/>
      </w:tcPr>
    </w:tblStylePr>
    <w:tblStylePr w:type="lastRow">
      <w:rPr>
        <w:rFonts w:ascii="Arial" w:hAnsi="Arial"/>
        <w:b/>
        <w:color w:val="ffffff"/>
        <w:sz w:val="22"/>
      </w:rPr>
      <w:pPr>
        <w:pBdr/>
        <w:spacing/>
        <w:ind/>
      </w:pPr>
      <w:tblPr>
        <w:tblBorders/>
      </w:tblPr>
      <w:tcPr>
        <w:shd w:val="clear" w:color="ffffff" w:themeColor="accent5" w:fill="c99c00" w:themeFill="accent5"/>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2">
    <w:name w:val="Grid Table 5 Dark - Accent 6"/>
    <w:basedOn w:val="800"/>
    <w:uiPriority w:val="99"/>
    <w:pPr>
      <w:pBdr/>
      <w:spacing w:after="0" w:line="240" w:lineRule="auto"/>
      <w:ind/>
    </w:pPr>
    <w:tblPr>
      <w:tblStyleRowBandSize w:val="1"/>
      <w:tblStyleColBandSize w:val="1"/>
      <w:tblInd w:w="0" w:type="dxa"/>
      <w:tblBorders>
        <w:top w:val="single" w:color="000000" w:themeColor="light1" w:sz="4" w:space="0"/>
        <w:left w:val="single" w:color="000000" w:themeColor="light1" w:sz="4" w:space="0"/>
        <w:bottom w:val="single" w:color="000000" w:themeColor="light1" w:sz="4" w:space="0"/>
        <w:right w:val="single" w:color="000000" w:themeColor="light1" w:sz="4" w:space="0"/>
        <w:insideH w:val="single" w:color="000000" w:themeColor="light1" w:sz="4" w:space="0"/>
        <w:insideV w:val="single" w:color="000000" w:themeColor="light1" w:sz="4" w:space="0"/>
      </w:tblBorders>
      <w:shd w:val="clear" w:color="ffffff" w:themeColor="accent6" w:themeTint="34" w:fill="f8cecd" w:themeFill="accent6" w:themeFillTint="34"/>
    </w:tblPr>
    <w:tcPr>
      <w:tcBorders/>
    </w:tcPr>
    <w:tblStylePr w:type="band1Horz">
      <w:pPr>
        <w:pBdr/>
        <w:spacing/>
        <w:ind/>
      </w:pPr>
      <w:tblPr>
        <w:tblBorders/>
      </w:tblPr>
      <w:tcPr>
        <w:shd w:val="clear" w:color="ffffff" w:themeColor="accent6" w:themeTint="75" w:fill="ee9190" w:themeFill="accent6" w:themeFillTint="75"/>
        <w:tcBorders/>
      </w:tcPr>
    </w:tblStylePr>
    <w:tblStylePr w:type="band1Vert">
      <w:pPr>
        <w:pBdr/>
        <w:spacing/>
        <w:ind/>
      </w:pPr>
      <w:tblPr>
        <w:tblBorders/>
      </w:tblPr>
      <w:tcPr>
        <w:shd w:val="clear" w:color="ffffff" w:themeColor="accent6" w:themeTint="75" w:fill="ee9190" w:themeFill="accent6" w:themeFillTint="75"/>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ffffff"/>
        <w:sz w:val="22"/>
      </w:rPr>
      <w:pPr>
        <w:pBdr/>
        <w:spacing/>
        <w:ind/>
      </w:pPr>
      <w:tblPr>
        <w:tblBorders/>
      </w:tblPr>
      <w:tcPr>
        <w:shd w:val="clear" w:color="ffffff" w:themeColor="accent6" w:fill="c9211e" w:themeFill="accent6"/>
        <w:tcBorders/>
      </w:tcPr>
    </w:tblStylePr>
    <w:tblStylePr w:type="firstRow">
      <w:rPr>
        <w:rFonts w:ascii="Arial" w:hAnsi="Arial"/>
        <w:b/>
        <w:color w:val="ffffff"/>
        <w:sz w:val="22"/>
      </w:rPr>
      <w:pPr>
        <w:pBdr/>
        <w:spacing/>
        <w:ind/>
      </w:pPr>
      <w:tblPr>
        <w:tblBorders/>
      </w:tblPr>
      <w:tcPr>
        <w:shd w:val="clear" w:color="ffffff" w:themeColor="accent6" w:fill="c9211e" w:themeFill="accent6"/>
        <w:tcBorders/>
      </w:tcPr>
    </w:tblStylePr>
    <w:tblStylePr w:type="lastCol">
      <w:rPr>
        <w:rFonts w:ascii="Arial" w:hAnsi="Arial"/>
        <w:b/>
        <w:color w:val="ffffff"/>
        <w:sz w:val="22"/>
      </w:rPr>
      <w:pPr>
        <w:pBdr/>
        <w:spacing/>
        <w:ind/>
      </w:pPr>
      <w:tblPr>
        <w:tblBorders/>
      </w:tblPr>
      <w:tcPr>
        <w:shd w:val="clear" w:color="ffffff" w:themeColor="accent6" w:fill="c9211e" w:themeFill="accent6"/>
        <w:tcBorders/>
      </w:tcPr>
    </w:tblStylePr>
    <w:tblStylePr w:type="lastRow">
      <w:rPr>
        <w:rFonts w:ascii="Arial" w:hAnsi="Arial"/>
        <w:b/>
        <w:color w:val="ffffff"/>
        <w:sz w:val="22"/>
      </w:rPr>
      <w:pPr>
        <w:pBdr/>
        <w:spacing/>
        <w:ind/>
      </w:pPr>
      <w:tblPr>
        <w:tblBorders/>
      </w:tblPr>
      <w:tcPr>
        <w:shd w:val="clear" w:color="ffffff" w:themeColor="accent6" w:fill="c9211e" w:themeFill="accent6"/>
        <w:tcBorders>
          <w:top w:val="single" w:color="000000" w:themeColor="ligh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43">
    <w:name w:val="Grid Table 6 Colorful"/>
    <w:basedOn w:val="800"/>
    <w:uiPriority w:val="99"/>
    <w:pPr>
      <w:pBdr/>
      <w:spacing w:after="0" w:line="240" w:lineRule="auto"/>
      <w:ind/>
    </w:pPr>
    <w:tblPr>
      <w:tblStyleRowBandSize w:val="1"/>
      <w:tblStyleColBandSize w:val="1"/>
      <w:tblInd w:w="0" w:type="dxa"/>
      <w:tblBorders>
        <w:top w:val="single" w:color="000000" w:themeColor="text1" w:themeTint="80" w:sz="4" w:space="0"/>
        <w:left w:val="single" w:color="000000" w:themeColor="text1" w:themeTint="80" w:sz="4" w:space="0"/>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04040" w:themeColor="text1" w:themeTint="80" w:themeShade="95"/>
        <w:sz w:val="22"/>
      </w:rPr>
      <w:pPr>
        <w:pBdr/>
        <w:spacing/>
        <w:ind/>
      </w:pPr>
      <w:tblPr>
        <w:tblBorders/>
      </w:tblPr>
      <w:tcPr>
        <w:shd w:val="clear" w:color="ffffff" w:themeColor="text1" w:themeTint="34" w:fill="cbcbcb" w:themeFill="text1" w:themeFillTint="34"/>
        <w:tcBorders/>
      </w:tcPr>
    </w:tblStylePr>
    <w:tblStylePr w:type="band1Vert">
      <w:pPr>
        <w:pBdr/>
        <w:spacing/>
        <w:ind/>
      </w:pPr>
      <w:tblPr>
        <w:tblBorders/>
      </w:tblPr>
      <w:tcPr>
        <w:shd w:val="clear" w:color="ffffff" w:themeColor="text1" w:themeTint="34" w:fill="cbcbcb" w:themeFill="text1" w:themeFillTint="34"/>
        <w:tcBorders/>
      </w:tcPr>
    </w:tblStylePr>
    <w:tblStylePr w:type="band2Horz">
      <w:rPr>
        <w:rFonts w:ascii="Arial" w:hAnsi="Arial"/>
        <w:color w:val="404040"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4a4a4a" w:themeColor="text1" w:themeTint="80" w:themeShade="95"/>
      </w:rPr>
      <w:pPr>
        <w:pBdr/>
        <w:spacing/>
        <w:ind/>
      </w:pPr>
      <w:tblPr>
        <w:tblBorders/>
      </w:tblPr>
      <w:tcPr>
        <w:tcBorders/>
      </w:tcPr>
    </w:tblStylePr>
    <w:tblStylePr w:type="firstRow">
      <w:rPr>
        <w:b/>
        <w:color w:val="4a4a4a" w:themeColor="text1" w:themeTint="80" w:themeShade="95"/>
      </w:rPr>
      <w:pPr>
        <w:pBdr/>
        <w:spacing/>
        <w:ind/>
      </w:pPr>
      <w:tblPr>
        <w:tblBorders/>
      </w:tblPr>
      <w:tcPr>
        <w:tcBorders>
          <w:bottom w:val="single" w:color="000000" w:themeColor="text1" w:themeTint="80" w:sz="12" w:space="0"/>
        </w:tcBorders>
      </w:tcPr>
    </w:tblStylePr>
    <w:tblStylePr w:type="lastCol">
      <w:rPr>
        <w:b/>
        <w:color w:val="4a4a4a" w:themeColor="text1" w:themeTint="80" w:themeShade="95"/>
      </w:rPr>
      <w:pPr>
        <w:pBdr/>
        <w:spacing/>
        <w:ind/>
      </w:pPr>
      <w:tblPr>
        <w:tblBorders/>
      </w:tblPr>
      <w:tcPr>
        <w:tcBorders/>
      </w:tcPr>
    </w:tblStylePr>
    <w:tblStylePr w:type="lastRow">
      <w:rPr>
        <w:b/>
        <w:color w:val="4a4a4a" w:themeColor="tex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text1" w:themeTint="80" w:themeShade="95"/>
        <w:sz w:val="22"/>
      </w:rPr>
      <w:pPr>
        <w:pBdr/>
        <w:spacing/>
        <w:ind/>
      </w:pPr>
      <w:tblPr>
        <w:tblBorders/>
      </w:tblPr>
      <w:tcPr>
        <w:tcBorders/>
      </w:tcPr>
    </w:tblStylePr>
  </w:style>
  <w:style w:type="table" w:styleId="844">
    <w:name w:val="Grid Table 6 Colorful - Accent 1"/>
    <w:basedOn w:val="800"/>
    <w:uiPriority w:val="99"/>
    <w:pPr>
      <w:pBdr/>
      <w:spacing w:after="0" w:line="240" w:lineRule="auto"/>
      <w:ind/>
    </w:pPr>
    <w:tblPr>
      <w:tblStyleRowBandSize w:val="1"/>
      <w:tblStyleColBandSize w:val="1"/>
      <w:tblInd w:w="0" w:type="dxa"/>
      <w:tblBorders>
        <w:top w:val="single" w:color="000000" w:themeColor="accent1" w:themeTint="80" w:sz="4" w:space="0"/>
        <w:left w:val="single" w:color="000000" w:themeColor="accent1" w:themeTint="80" w:sz="4" w:space="0"/>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404040" w:themeColor="accent1" w:themeTint="80" w:themeShade="95"/>
        <w:sz w:val="22"/>
      </w:rPr>
      <w:pPr>
        <w:pBdr/>
        <w:spacing/>
        <w:ind/>
      </w:pPr>
      <w:tblPr>
        <w:tblBorders/>
      </w:tblPr>
      <w:tcPr>
        <w:shd w:val="clear" w:color="ffffff" w:themeColor="accent1" w:themeTint="34" w:fill="c3feba" w:themeFill="accent1" w:themeFillTint="34"/>
        <w:tcBorders/>
      </w:tcPr>
    </w:tblStylePr>
    <w:tblStylePr w:type="band1Vert">
      <w:pPr>
        <w:pBdr/>
        <w:spacing/>
        <w:ind/>
      </w:pPr>
      <w:tblPr>
        <w:tblBorders/>
      </w:tblPr>
      <w:tcPr>
        <w:shd w:val="clear" w:color="ffffff" w:themeColor="accent1" w:themeTint="34" w:fill="c3feba" w:themeFill="accent1" w:themeFillTint="34"/>
        <w:tcBorders/>
      </w:tcPr>
    </w:tblStylePr>
    <w:tblStylePr w:type="band2Horz">
      <w:rPr>
        <w:rFonts w:ascii="Arial" w:hAnsi="Arial"/>
        <w:color w:val="404040"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1cc204" w:themeColor="accent1" w:themeTint="80" w:themeShade="95"/>
      </w:rPr>
      <w:pPr>
        <w:pBdr/>
        <w:spacing/>
        <w:ind/>
      </w:pPr>
      <w:tblPr>
        <w:tblBorders/>
      </w:tblPr>
      <w:tcPr>
        <w:tcBorders/>
      </w:tcPr>
    </w:tblStylePr>
    <w:tblStylePr w:type="firstRow">
      <w:rPr>
        <w:b/>
        <w:color w:val="1cc204" w:themeColor="accent1" w:themeTint="80" w:themeShade="95"/>
      </w:rPr>
      <w:pPr>
        <w:pBdr/>
        <w:spacing/>
        <w:ind/>
      </w:pPr>
      <w:tblPr>
        <w:tblBorders/>
      </w:tblPr>
      <w:tcPr>
        <w:tcBorders>
          <w:bottom w:val="single" w:color="000000" w:themeColor="accent1" w:themeTint="80" w:sz="12" w:space="0"/>
        </w:tcBorders>
      </w:tcPr>
    </w:tblStylePr>
    <w:tblStylePr w:type="lastCol">
      <w:rPr>
        <w:b/>
        <w:color w:val="1cc204" w:themeColor="accent1" w:themeTint="80" w:themeShade="95"/>
      </w:rPr>
      <w:pPr>
        <w:pBdr/>
        <w:spacing/>
        <w:ind/>
      </w:pPr>
      <w:tblPr>
        <w:tblBorders/>
      </w:tblPr>
      <w:tcPr>
        <w:tcBorders/>
      </w:tcPr>
    </w:tblStylePr>
    <w:tblStylePr w:type="lastRow">
      <w:rPr>
        <w:b/>
        <w:color w:val="1cc204" w:themeColor="accent1" w:themeTint="80"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1" w:themeTint="80" w:themeShade="95"/>
        <w:sz w:val="22"/>
      </w:rPr>
      <w:pPr>
        <w:pBdr/>
        <w:spacing/>
        <w:ind/>
      </w:pPr>
      <w:tblPr>
        <w:tblBorders/>
      </w:tblPr>
      <w:tcPr>
        <w:tcBorders/>
      </w:tcPr>
    </w:tblStylePr>
  </w:style>
  <w:style w:type="table" w:styleId="845">
    <w:name w:val="Grid Table 6 Colorful - Accent 2"/>
    <w:basedOn w:val="800"/>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32" w:fill="bde6fe" w:themeFill="accent2" w:themeFillTint="32"/>
        <w:tcBorders/>
      </w:tcPr>
    </w:tblStylePr>
    <w:tblStylePr w:type="band1Vert">
      <w:pPr>
        <w:pBdr/>
        <w:spacing/>
        <w:ind/>
      </w:pPr>
      <w:tblPr>
        <w:tblBorders/>
      </w:tblPr>
      <w:tcPr>
        <w:shd w:val="clear" w:color="ffffff" w:themeColor="accent2" w:themeTint="32" w:fill="bde6fe" w:themeFill="accent2" w:themeFillTint="32"/>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0371b0" w:themeColor="accent2" w:themeTint="97" w:themeShade="95"/>
      </w:rPr>
      <w:pPr>
        <w:pBdr/>
        <w:spacing/>
        <w:ind/>
      </w:pPr>
      <w:tblPr>
        <w:tblBorders/>
      </w:tblPr>
      <w:tcPr>
        <w:tcBorders/>
      </w:tcPr>
    </w:tblStylePr>
    <w:tblStylePr w:type="firstRow">
      <w:rPr>
        <w:b/>
        <w:color w:val="0371b0" w:themeColor="accent2" w:themeTint="97" w:themeShade="95"/>
      </w:rPr>
      <w:pPr>
        <w:pBdr/>
        <w:spacing/>
        <w:ind/>
      </w:pPr>
      <w:tblPr>
        <w:tblBorders/>
      </w:tblPr>
      <w:tcPr>
        <w:tcBorders>
          <w:bottom w:val="single" w:color="000000" w:themeColor="accent2" w:themeTint="97" w:sz="12" w:space="0"/>
        </w:tcBorders>
      </w:tcPr>
    </w:tblStylePr>
    <w:tblStylePr w:type="lastCol">
      <w:rPr>
        <w:b/>
        <w:color w:val="0371b0" w:themeColor="accent2" w:themeTint="97" w:themeShade="95"/>
      </w:rPr>
      <w:pPr>
        <w:pBdr/>
        <w:spacing/>
        <w:ind/>
      </w:pPr>
      <w:tblPr>
        <w:tblBorders/>
      </w:tblPr>
      <w:tcPr>
        <w:tcBorders/>
      </w:tcPr>
    </w:tblStylePr>
    <w:tblStylePr w:type="lastRow">
      <w:rPr>
        <w:b/>
        <w:color w:val="0371b0" w:themeColor="accent2" w:themeTint="97"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2" w:themeTint="97" w:themeShade="95"/>
        <w:sz w:val="22"/>
      </w:rPr>
      <w:pPr>
        <w:pBdr/>
        <w:spacing/>
        <w:ind/>
      </w:pPr>
      <w:tblPr>
        <w:tblBorders/>
      </w:tblPr>
      <w:tcPr>
        <w:tcBorders/>
      </w:tcPr>
    </w:tblStylePr>
  </w:style>
  <w:style w:type="table" w:styleId="846">
    <w:name w:val="Grid Table 6 Colorful - Accent 3"/>
    <w:basedOn w:val="800"/>
    <w:uiPriority w:val="99"/>
    <w:pPr>
      <w:pBdr/>
      <w:spacing w:after="0" w:line="240" w:lineRule="auto"/>
      <w:ind/>
    </w:pPr>
    <w:tblPr>
      <w:tblStyleRowBandSize w:val="1"/>
      <w:tblStyleColBandSize w:val="1"/>
      <w:tblInd w:w="0" w:type="dxa"/>
      <w:tblBorders>
        <w:top w:val="single" w:color="000000" w:themeColor="accent3" w:themeTint="FE" w:sz="4" w:space="0"/>
        <w:left w:val="single" w:color="000000" w:themeColor="accent3" w:themeTint="FE" w:sz="4" w:space="0"/>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404040" w:themeColor="accent3" w:themeTint="FE" w:themeShade="95"/>
        <w:sz w:val="22"/>
      </w:rPr>
      <w:pPr>
        <w:pBdr/>
        <w:spacing/>
        <w:ind/>
      </w:pPr>
      <w:tblPr>
        <w:tblBorders/>
      </w:tblPr>
      <w:tcPr>
        <w:shd w:val="clear" w:color="ffffff" w:themeColor="accent3" w:themeTint="34" w:fill="fed3ba" w:themeFill="accent3" w:themeFillTint="34"/>
        <w:tcBorders/>
      </w:tcPr>
    </w:tblStylePr>
    <w:tblStylePr w:type="band1Vert">
      <w:pPr>
        <w:pBdr/>
        <w:spacing/>
        <w:ind/>
      </w:pPr>
      <w:tblPr>
        <w:tblBorders/>
      </w:tblPr>
      <w:tcPr>
        <w:shd w:val="clear" w:color="ffffff" w:themeColor="accent3" w:themeTint="34" w:fill="fed3ba" w:themeFill="accent3" w:themeFillTint="34"/>
        <w:tcBorders/>
      </w:tcPr>
    </w:tblStylePr>
    <w:tblStylePr w:type="band2Horz">
      <w:rPr>
        <w:rFonts w:ascii="Arial" w:hAnsi="Arial"/>
        <w:color w:val="404040"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602502" w:themeColor="accent3" w:themeTint="FE" w:themeShade="95"/>
      </w:rPr>
      <w:pPr>
        <w:pBdr/>
        <w:spacing/>
        <w:ind/>
      </w:pPr>
      <w:tblPr>
        <w:tblBorders/>
      </w:tblPr>
      <w:tcPr>
        <w:tcBorders/>
      </w:tcPr>
    </w:tblStylePr>
    <w:tblStylePr w:type="firstRow">
      <w:rPr>
        <w:b/>
        <w:color w:val="602502" w:themeColor="accent3" w:themeTint="FE" w:themeShade="95"/>
      </w:rPr>
      <w:pPr>
        <w:pBdr/>
        <w:spacing/>
        <w:ind/>
      </w:pPr>
      <w:tblPr>
        <w:tblBorders/>
      </w:tblPr>
      <w:tcPr>
        <w:tcBorders>
          <w:bottom w:val="single" w:color="000000" w:themeColor="accent3" w:themeTint="FE" w:sz="12" w:space="0"/>
        </w:tcBorders>
      </w:tcPr>
    </w:tblStylePr>
    <w:tblStylePr w:type="lastCol">
      <w:rPr>
        <w:b/>
        <w:color w:val="602502" w:themeColor="accent3" w:themeTint="FE" w:themeShade="95"/>
      </w:rPr>
      <w:pPr>
        <w:pBdr/>
        <w:spacing/>
        <w:ind/>
      </w:pPr>
      <w:tblPr>
        <w:tblBorders/>
      </w:tblPr>
      <w:tcPr>
        <w:tcBorders/>
      </w:tcPr>
    </w:tblStylePr>
    <w:tblStylePr w:type="lastRow">
      <w:rPr>
        <w:b/>
        <w:color w:val="602502" w:themeColor="accent3" w:themeTint="FE"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3" w:themeTint="FE" w:themeShade="95"/>
        <w:sz w:val="22"/>
      </w:rPr>
      <w:pPr>
        <w:pBdr/>
        <w:spacing/>
        <w:ind/>
      </w:pPr>
      <w:tblPr>
        <w:tblBorders/>
      </w:tblPr>
      <w:tcPr>
        <w:tcBorders/>
      </w:tcPr>
    </w:tblStylePr>
  </w:style>
  <w:style w:type="table" w:styleId="847">
    <w:name w:val="Grid Table 6 Colorful - Accent 4"/>
    <w:basedOn w:val="800"/>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34" w:fill="f5bafe" w:themeFill="accent4" w:themeFillTint="34"/>
        <w:tcBorders/>
      </w:tcPr>
    </w:tblStylePr>
    <w:tblStylePr w:type="band1Vert">
      <w:pPr>
        <w:pBdr/>
        <w:spacing/>
        <w:ind/>
      </w:pPr>
      <w:tblPr>
        <w:tblBorders/>
      </w:tblPr>
      <w:tcPr>
        <w:shd w:val="clear" w:color="ffffff" w:themeColor="accent4" w:themeTint="34" w:fill="f5bafe" w:themeFill="accent4" w:themeFillTint="34"/>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703ad" w:themeColor="accent4" w:themeTint="9A" w:themeShade="95"/>
      </w:rPr>
      <w:pPr>
        <w:pBdr/>
        <w:spacing/>
        <w:ind/>
      </w:pPr>
      <w:tblPr>
        <w:tblBorders/>
      </w:tblPr>
      <w:tcPr>
        <w:tcBorders/>
      </w:tcPr>
    </w:tblStylePr>
    <w:tblStylePr w:type="firstRow">
      <w:rPr>
        <w:b/>
        <w:color w:val="9703ad" w:themeColor="accent4" w:themeTint="9A" w:themeShade="95"/>
      </w:rPr>
      <w:pPr>
        <w:pBdr/>
        <w:spacing/>
        <w:ind/>
      </w:pPr>
      <w:tblPr>
        <w:tblBorders/>
      </w:tblPr>
      <w:tcPr>
        <w:tcBorders>
          <w:bottom w:val="single" w:color="000000" w:themeColor="accent4" w:themeTint="9A" w:sz="12" w:space="0"/>
        </w:tcBorders>
      </w:tcPr>
    </w:tblStylePr>
    <w:tblStylePr w:type="lastCol">
      <w:rPr>
        <w:b/>
        <w:color w:val="9703ad" w:themeColor="accent4" w:themeTint="9A" w:themeShade="95"/>
      </w:rPr>
      <w:pPr>
        <w:pBdr/>
        <w:spacing/>
        <w:ind/>
      </w:pPr>
      <w:tblPr>
        <w:tblBorders/>
      </w:tblPr>
      <w:tcPr>
        <w:tcBorders/>
      </w:tcPr>
    </w:tblStylePr>
    <w:tblStylePr w:type="lastRow">
      <w:rPr>
        <w:b/>
        <w:color w:val="9703ad" w:themeColor="accent4" w:themeTint="9A"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4" w:themeTint="9A" w:themeShade="95"/>
        <w:sz w:val="22"/>
      </w:rPr>
      <w:pPr>
        <w:pBdr/>
        <w:spacing/>
        <w:ind/>
      </w:pPr>
      <w:tblPr>
        <w:tblBorders/>
      </w:tblPr>
      <w:tcPr>
        <w:tcBorders/>
      </w:tcPr>
    </w:tblStylePr>
  </w:style>
  <w:style w:type="table" w:styleId="848">
    <w:name w:val="Grid Table 6 Colorful - Accent 5"/>
    <w:basedOn w:val="800"/>
    <w:uiPriority w:val="99"/>
    <w:pPr>
      <w:pBdr/>
      <w:spacing w:after="0" w:line="240" w:lineRule="auto"/>
      <w:ind/>
    </w:pPr>
    <w:tblPr>
      <w:tblStyleRowBandSize w:val="1"/>
      <w:tblStyleColBandSize w:val="1"/>
      <w:tblInd w:w="0" w:type="dxa"/>
      <w:tblBorders>
        <w:top w:val="single" w:color="000000" w:themeColor="accent5" w:sz="4" w:space="0"/>
        <w:left w:val="single" w:color="000000" w:themeColor="accent5" w:sz="4" w:space="0"/>
        <w:bottom w:val="single" w:color="000000" w:themeColor="accent5" w:sz="4" w:space="0"/>
        <w:right w:val="single" w:color="000000" w:themeColor="accent5" w:sz="4" w:space="0"/>
        <w:insideH w:val="single" w:color="000000" w:themeColor="accent5" w:sz="4" w:space="0"/>
        <w:insideV w:val="single" w:color="000000" w:themeColor="accent5"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5" w:themeTint="34" w:fill="fff1c0" w:themeFill="accent5" w:themeFillTint="34"/>
        <w:tcBorders/>
      </w:tcPr>
    </w:tblStylePr>
    <w:tblStylePr w:type="band1Vert">
      <w:pPr>
        <w:pBdr/>
        <w:spacing/>
        <w:ind/>
      </w:pPr>
      <w:tblPr>
        <w:tblBorders/>
      </w:tblPr>
      <w:tcPr>
        <w:shd w:val="clear" w:color="ffffff" w:themeColor="accent5" w:themeTint="34" w:fill="fff1c0" w:themeFill="accent5"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5b00" w:themeColor="accent5" w:themeShade="95"/>
      </w:rPr>
      <w:pPr>
        <w:pBdr/>
        <w:spacing/>
        <w:ind/>
      </w:pPr>
      <w:tblPr>
        <w:tblBorders/>
      </w:tblPr>
      <w:tcPr>
        <w:tcBorders/>
      </w:tcPr>
    </w:tblStylePr>
    <w:tblStylePr w:type="firstRow">
      <w:rPr>
        <w:b/>
        <w:color w:val="755b00" w:themeColor="accent5" w:themeShade="95"/>
      </w:rPr>
      <w:pPr>
        <w:pBdr/>
        <w:spacing/>
        <w:ind/>
      </w:pPr>
      <w:tblPr>
        <w:tblBorders/>
      </w:tblPr>
      <w:tcPr>
        <w:tcBorders>
          <w:bottom w:val="single" w:color="000000" w:themeColor="accent5" w:sz="12" w:space="0"/>
        </w:tcBorders>
      </w:tcPr>
    </w:tblStylePr>
    <w:tblStylePr w:type="lastCol">
      <w:rPr>
        <w:b/>
        <w:color w:val="755b00" w:themeColor="accent5" w:themeShade="95"/>
      </w:rPr>
      <w:pPr>
        <w:pBdr/>
        <w:spacing/>
        <w:ind/>
      </w:pPr>
      <w:tblPr>
        <w:tblBorders/>
      </w:tblPr>
      <w:tcPr>
        <w:tcBorders/>
      </w:tcPr>
    </w:tblStylePr>
    <w:tblStylePr w:type="lastRow">
      <w:rPr>
        <w:b/>
        <w:color w:val="755b00"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49">
    <w:name w:val="Grid Table 6 Colorful - Accent 6"/>
    <w:basedOn w:val="800"/>
    <w:uiPriority w:val="99"/>
    <w:pPr>
      <w:pBdr/>
      <w:spacing w:after="0" w:line="240" w:lineRule="auto"/>
      <w:ind/>
    </w:pPr>
    <w:tblPr>
      <w:tblStyleRowBandSize w:val="1"/>
      <w:tblStyleColBandSize w:val="1"/>
      <w:tblInd w:w="0" w:type="dxa"/>
      <w:tblBorders>
        <w:top w:val="single" w:color="000000" w:themeColor="accent6" w:sz="4" w:space="0"/>
        <w:left w:val="single" w:color="000000" w:themeColor="accent6" w:sz="4" w:space="0"/>
        <w:bottom w:val="single" w:color="000000" w:themeColor="accent6" w:sz="4" w:space="0"/>
        <w:right w:val="single" w:color="000000" w:themeColor="accent6" w:sz="4" w:space="0"/>
        <w:insideH w:val="single" w:color="000000" w:themeColor="accent6" w:sz="4" w:space="0"/>
        <w:insideV w:val="single" w:color="000000" w:themeColor="accent6" w:sz="4" w:space="0"/>
      </w:tblBorders>
    </w:tblPr>
    <w:tcPr>
      <w:tcBorders/>
    </w:tcPr>
    <w:tblStylePr w:type="band1Horz">
      <w:rPr>
        <w:rFonts w:ascii="Arial" w:hAnsi="Arial"/>
        <w:color w:val="404040" w:themeColor="accent5" w:themeShade="95"/>
        <w:sz w:val="22"/>
      </w:rPr>
      <w:pPr>
        <w:pBdr/>
        <w:spacing/>
        <w:ind/>
      </w:pPr>
      <w:tblPr>
        <w:tblBorders/>
      </w:tblPr>
      <w:tcPr>
        <w:shd w:val="clear" w:color="ffffff" w:themeColor="accent6" w:themeTint="34" w:fill="f8cecd" w:themeFill="accent6" w:themeFillTint="34"/>
        <w:tcBorders/>
      </w:tcPr>
    </w:tblStylePr>
    <w:tblStylePr w:type="band1Vert">
      <w:pPr>
        <w:pBdr/>
        <w:spacing/>
        <w:ind/>
      </w:pPr>
      <w:tblPr>
        <w:tblBorders/>
      </w:tblPr>
      <w:tcPr>
        <w:shd w:val="clear" w:color="ffffff" w:themeColor="accent6" w:themeTint="34" w:fill="f8cecd" w:themeFill="accent6" w:themeFillTint="34"/>
        <w:tcBorders/>
      </w:tcPr>
    </w:tblStylePr>
    <w:tblStylePr w:type="band2Horz">
      <w:rPr>
        <w:rFonts w:ascii="Arial" w:hAnsi="Arial"/>
        <w:color w:val="40404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755b00" w:themeColor="accent5" w:themeShade="95"/>
      </w:rPr>
      <w:pPr>
        <w:pBdr/>
        <w:spacing/>
        <w:ind/>
      </w:pPr>
      <w:tblPr>
        <w:tblBorders/>
      </w:tblPr>
      <w:tcPr>
        <w:tcBorders/>
      </w:tcPr>
    </w:tblStylePr>
    <w:tblStylePr w:type="firstRow">
      <w:rPr>
        <w:b/>
        <w:color w:val="755b00" w:themeColor="accent5" w:themeShade="95"/>
      </w:rPr>
      <w:pPr>
        <w:pBdr/>
        <w:spacing/>
        <w:ind/>
      </w:pPr>
      <w:tblPr>
        <w:tblBorders/>
      </w:tblPr>
      <w:tcPr>
        <w:tcBorders>
          <w:bottom w:val="single" w:color="000000" w:themeColor="accent6" w:sz="12" w:space="0"/>
        </w:tcBorders>
      </w:tcPr>
    </w:tblStylePr>
    <w:tblStylePr w:type="lastCol">
      <w:rPr>
        <w:b/>
        <w:color w:val="755b00" w:themeColor="accent5" w:themeShade="95"/>
      </w:rPr>
      <w:pPr>
        <w:pBdr/>
        <w:spacing/>
        <w:ind/>
      </w:pPr>
      <w:tblPr>
        <w:tblBorders/>
      </w:tblPr>
      <w:tcPr>
        <w:tcBorders/>
      </w:tcPr>
    </w:tblStylePr>
    <w:tblStylePr w:type="lastRow">
      <w:rPr>
        <w:b/>
        <w:color w:val="755b00" w:themeColor="accent5" w:themeShade="95"/>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04040" w:themeColor="accent5" w:themeShade="95"/>
        <w:sz w:val="22"/>
      </w:rPr>
      <w:pPr>
        <w:pBdr/>
        <w:spacing/>
        <w:ind/>
      </w:pPr>
      <w:tblPr>
        <w:tblBorders/>
      </w:tblPr>
      <w:tcPr>
        <w:tcBorders/>
      </w:tcPr>
    </w:tblStylePr>
  </w:style>
  <w:style w:type="table" w:styleId="850">
    <w:name w:val="Grid Table 7 Colorful"/>
    <w:basedOn w:val="800"/>
    <w:uiPriority w:val="99"/>
    <w:pPr>
      <w:pBdr/>
      <w:spacing w:after="0" w:line="240" w:lineRule="auto"/>
      <w:ind/>
    </w:pPr>
    <w:tblPr>
      <w:tblStyleRowBandSize w:val="1"/>
      <w:tblStyleColBandSize w:val="1"/>
      <w:tblInd w:w="0" w:type="dxa"/>
      <w:tblBorders>
        <w:bottom w:val="single" w:color="000000" w:themeColor="text1" w:themeTint="80" w:sz="4" w:space="0"/>
        <w:right w:val="single" w:color="000000" w:themeColor="text1" w:themeTint="80" w:sz="4" w:space="0"/>
        <w:insideH w:val="single" w:color="000000" w:themeColor="text1" w:themeTint="80" w:sz="4" w:space="0"/>
        <w:insideV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0D" w:fill="f2f2f2" w:themeFill="text1" w:themeFillTint="0D"/>
        <w:tcBorders/>
      </w:tcPr>
    </w:tblStylePr>
    <w:tblStylePr w:type="band1Vert">
      <w:pPr>
        <w:pBdr/>
        <w:spacing/>
        <w:ind/>
      </w:pPr>
      <w:tblPr>
        <w:tblBorders/>
      </w:tblPr>
      <w:tcPr>
        <w:shd w:val="clear" w:color="ffffff" w:themeColor="text1" w:themeTint="0D" w:fill="f2f2f2" w:themeFill="text1" w:themeFillTint="0D"/>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b/>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1">
    <w:name w:val="Grid Table 7 Colorful - Accent 1"/>
    <w:basedOn w:val="800"/>
    <w:uiPriority w:val="99"/>
    <w:pPr>
      <w:pBdr/>
      <w:spacing w:after="0" w:line="240" w:lineRule="auto"/>
      <w:ind/>
    </w:pPr>
    <w:tblPr>
      <w:tblStyleRowBandSize w:val="1"/>
      <w:tblStyleColBandSize w:val="1"/>
      <w:tblInd w:w="0" w:type="dxa"/>
      <w:tblBorders>
        <w:bottom w:val="single" w:color="000000" w:themeColor="accent1" w:themeTint="80" w:sz="4" w:space="0"/>
        <w:right w:val="single" w:color="000000" w:themeColor="accent1" w:themeTint="80" w:sz="4" w:space="0"/>
        <w:insideH w:val="single" w:color="000000" w:themeColor="accent1" w:themeTint="80" w:sz="4" w:space="0"/>
        <w:insideV w:val="single" w:color="000000" w:themeColor="accent1" w:themeTint="80" w:sz="4" w:space="0"/>
      </w:tblBorders>
    </w:tblPr>
    <w:tcPr>
      <w:tcBorders/>
    </w:tcPr>
    <w:tblStylePr w:type="band1Horz">
      <w:rPr>
        <w:rFonts w:ascii="Arial" w:hAnsi="Arial"/>
        <w:color w:val="1cc204" w:themeColor="accent1" w:themeTint="80" w:themeShade="95"/>
        <w:sz w:val="22"/>
      </w:rPr>
      <w:pPr>
        <w:pBdr/>
        <w:spacing/>
        <w:ind/>
      </w:pPr>
      <w:tblPr>
        <w:tblBorders/>
      </w:tblPr>
      <w:tcPr>
        <w:shd w:val="clear" w:color="ffffff" w:themeColor="accent1" w:themeTint="34" w:fill="c3feba" w:themeFill="accent1" w:themeFillTint="34"/>
        <w:tcBorders/>
      </w:tcPr>
    </w:tblStylePr>
    <w:tblStylePr w:type="band1Vert">
      <w:pPr>
        <w:pBdr/>
        <w:spacing/>
        <w:ind/>
      </w:pPr>
      <w:tblPr>
        <w:tblBorders/>
      </w:tblPr>
      <w:tcPr>
        <w:shd w:val="clear" w:color="ffffff" w:themeColor="accent1" w:themeTint="34" w:fill="c3feba" w:themeFill="accent1" w:themeFillTint="34"/>
        <w:tcBorders/>
      </w:tcPr>
    </w:tblStylePr>
    <w:tblStylePr w:type="band2Horz">
      <w:rPr>
        <w:rFonts w:ascii="Arial" w:hAnsi="Arial"/>
        <w:color w:val="1cc204" w:themeColor="accen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1cc204" w:themeColor="accen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themeTint="80" w:sz="4" w:space="0"/>
        </w:tcBorders>
      </w:tcPr>
    </w:tblStylePr>
    <w:tblStylePr w:type="firstRow">
      <w:rPr>
        <w:rFonts w:ascii="Arial" w:hAnsi="Arial"/>
        <w:b/>
        <w:color w:val="1cc204" w:themeColor="accen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themeTint="80" w:sz="4" w:space="0"/>
          <w:right w:val="none" w:color="000000" w:sz="4" w:space="0"/>
        </w:tcBorders>
      </w:tcPr>
    </w:tblStylePr>
    <w:tblStylePr w:type="lastCol">
      <w:rPr>
        <w:rFonts w:ascii="Arial" w:hAnsi="Arial"/>
        <w:i/>
        <w:color w:val="1cc204" w:themeColor="accent1" w:themeTint="80" w:themeShade="95"/>
        <w:sz w:val="22"/>
      </w:rPr>
      <w:pPr>
        <w:pBdr/>
        <w:spacing/>
        <w:ind/>
      </w:pPr>
      <w:tblPr>
        <w:tblBorders/>
      </w:tblPr>
      <w:tcPr>
        <w:shd w:val="clear" w:color="ffffff"/>
        <w:tcBorders>
          <w:top w:val="none" w:color="000000" w:sz="4" w:space="0"/>
          <w:left w:val="single" w:color="000000" w:themeColor="accent1" w:themeTint="80" w:sz="4" w:space="0"/>
          <w:bottom w:val="none" w:color="000000" w:sz="4" w:space="0"/>
          <w:right w:val="none" w:color="000000" w:sz="4" w:space="0"/>
        </w:tcBorders>
      </w:tcPr>
    </w:tblStylePr>
    <w:tblStylePr w:type="lastRow">
      <w:rPr>
        <w:rFonts w:ascii="Arial" w:hAnsi="Arial"/>
        <w:b/>
        <w:color w:val="1cc204" w:themeColor="accent1" w:themeTint="80" w:themeShade="95"/>
        <w:sz w:val="22"/>
      </w:rPr>
      <w:pPr>
        <w:pBdr/>
        <w:spacing/>
        <w:ind/>
      </w:pPr>
      <w:tblPr>
        <w:tblBorders/>
      </w:tblPr>
      <w:tcPr>
        <w:shd w:val="clear" w:color="ffffff" w:themeColor="light1" w:fill="ffffff" w:themeFill="light1"/>
        <w:tcBorders>
          <w:top w:val="single" w:color="000000" w:themeColor="accen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2">
    <w:name w:val="Grid Table 7 Colorful - Accent 2"/>
    <w:basedOn w:val="800"/>
    <w:uiPriority w:val="99"/>
    <w:pPr>
      <w:pBdr/>
      <w:spacing w:after="0" w:line="240" w:lineRule="auto"/>
      <w:ind/>
    </w:pPr>
    <w:tblPr>
      <w:tblStyleRowBandSize w:val="1"/>
      <w:tblStyleColBandSize w:val="1"/>
      <w:tblInd w:w="0" w:type="dxa"/>
      <w:tblBorders>
        <w:bottom w:val="single" w:color="000000" w:themeColor="accent2" w:themeTint="97" w:sz="4" w:space="0"/>
        <w:right w:val="single" w:color="000000" w:themeColor="accent2" w:themeTint="97" w:sz="4" w:space="0"/>
        <w:insideH w:val="single" w:color="000000" w:themeColor="accent2" w:themeTint="97" w:sz="4" w:space="0"/>
        <w:insideV w:val="single" w:color="000000" w:themeColor="accent2" w:themeTint="97" w:sz="4" w:space="0"/>
      </w:tblBorders>
    </w:tblPr>
    <w:tcPr>
      <w:tcBorders/>
    </w:tcPr>
    <w:tblStylePr w:type="band1Horz">
      <w:rPr>
        <w:rFonts w:ascii="Arial" w:hAnsi="Arial"/>
        <w:color w:val="0371b0" w:themeColor="accent2" w:themeTint="97" w:themeShade="95"/>
        <w:sz w:val="22"/>
      </w:rPr>
      <w:pPr>
        <w:pBdr/>
        <w:spacing/>
        <w:ind/>
      </w:pPr>
      <w:tblPr>
        <w:tblBorders/>
      </w:tblPr>
      <w:tcPr>
        <w:shd w:val="clear" w:color="ffffff" w:themeColor="accent2" w:themeTint="32" w:fill="bde6fe" w:themeFill="accent2" w:themeFillTint="32"/>
        <w:tcBorders/>
      </w:tcPr>
    </w:tblStylePr>
    <w:tblStylePr w:type="band1Vert">
      <w:pPr>
        <w:pBdr/>
        <w:spacing/>
        <w:ind/>
      </w:pPr>
      <w:tblPr>
        <w:tblBorders/>
      </w:tblPr>
      <w:tcPr>
        <w:shd w:val="clear" w:color="ffffff" w:themeColor="accent2" w:themeTint="32" w:fill="bde6fe" w:themeFill="accent2" w:themeFillTint="32"/>
        <w:tcBorders/>
      </w:tcPr>
    </w:tblStylePr>
    <w:tblStylePr w:type="band2Horz">
      <w:rPr>
        <w:rFonts w:ascii="Arial" w:hAnsi="Arial"/>
        <w:color w:val="0371b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0371b0"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b/>
        <w:color w:val="0371b0"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0371b0"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b/>
        <w:color w:val="0371b0"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3">
    <w:name w:val="Grid Table 7 Colorful - Accent 3"/>
    <w:basedOn w:val="800"/>
    <w:uiPriority w:val="99"/>
    <w:pPr>
      <w:pBdr/>
      <w:spacing w:after="0" w:line="240" w:lineRule="auto"/>
      <w:ind/>
    </w:pPr>
    <w:tblPr>
      <w:tblStyleRowBandSize w:val="1"/>
      <w:tblStyleColBandSize w:val="1"/>
      <w:tblInd w:w="0" w:type="dxa"/>
      <w:tblBorders>
        <w:bottom w:val="single" w:color="000000" w:themeColor="accent3" w:themeTint="FE" w:sz="4" w:space="0"/>
        <w:right w:val="single" w:color="000000" w:themeColor="accent3" w:themeTint="FE" w:sz="4" w:space="0"/>
        <w:insideH w:val="single" w:color="000000" w:themeColor="accent3" w:themeTint="FE" w:sz="4" w:space="0"/>
        <w:insideV w:val="single" w:color="000000" w:themeColor="accent3" w:themeTint="FE" w:sz="4" w:space="0"/>
      </w:tblBorders>
    </w:tblPr>
    <w:tcPr>
      <w:tcBorders/>
    </w:tcPr>
    <w:tblStylePr w:type="band1Horz">
      <w:rPr>
        <w:rFonts w:ascii="Arial" w:hAnsi="Arial"/>
        <w:color w:val="602502" w:themeColor="accent3" w:themeTint="FE" w:themeShade="95"/>
        <w:sz w:val="22"/>
      </w:rPr>
      <w:pPr>
        <w:pBdr/>
        <w:spacing/>
        <w:ind/>
      </w:pPr>
      <w:tblPr>
        <w:tblBorders/>
      </w:tblPr>
      <w:tcPr>
        <w:shd w:val="clear" w:color="ffffff" w:themeColor="accent3" w:themeTint="34" w:fill="fed3ba" w:themeFill="accent3" w:themeFillTint="34"/>
        <w:tcBorders/>
      </w:tcPr>
    </w:tblStylePr>
    <w:tblStylePr w:type="band1Vert">
      <w:pPr>
        <w:pBdr/>
        <w:spacing/>
        <w:ind/>
      </w:pPr>
      <w:tblPr>
        <w:tblBorders/>
      </w:tblPr>
      <w:tcPr>
        <w:shd w:val="clear" w:color="ffffff" w:themeColor="accent3" w:themeTint="34" w:fill="fed3ba" w:themeFill="accent3" w:themeFillTint="34"/>
        <w:tcBorders/>
      </w:tcPr>
    </w:tblStylePr>
    <w:tblStylePr w:type="band2Horz">
      <w:rPr>
        <w:rFonts w:ascii="Arial" w:hAnsi="Arial"/>
        <w:color w:val="602502" w:themeColor="accent3" w:themeTint="FE"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602502" w:themeColor="accent3" w:themeTint="FE"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FE" w:sz="4" w:space="0"/>
        </w:tcBorders>
      </w:tcPr>
    </w:tblStylePr>
    <w:tblStylePr w:type="firstRow">
      <w:rPr>
        <w:rFonts w:ascii="Arial" w:hAnsi="Arial"/>
        <w:b/>
        <w:color w:val="602502" w:themeColor="accent3" w:themeTint="FE"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FE" w:sz="4" w:space="0"/>
          <w:right w:val="none" w:color="000000" w:sz="4" w:space="0"/>
        </w:tcBorders>
      </w:tcPr>
    </w:tblStylePr>
    <w:tblStylePr w:type="lastCol">
      <w:rPr>
        <w:rFonts w:ascii="Arial" w:hAnsi="Arial"/>
        <w:i/>
        <w:color w:val="602502" w:themeColor="accent3" w:themeTint="FE" w:themeShade="95"/>
        <w:sz w:val="22"/>
      </w:rPr>
      <w:pPr>
        <w:pBdr/>
        <w:spacing/>
        <w:ind/>
      </w:pPr>
      <w:tblPr>
        <w:tblBorders/>
      </w:tblPr>
      <w:tcPr>
        <w:shd w:val="clear" w:color="ffffff"/>
        <w:tcBorders>
          <w:top w:val="none" w:color="000000" w:sz="4" w:space="0"/>
          <w:left w:val="single" w:color="000000" w:themeColor="accent3" w:themeTint="FE" w:sz="4" w:space="0"/>
          <w:bottom w:val="none" w:color="000000" w:sz="4" w:space="0"/>
          <w:right w:val="none" w:color="000000" w:sz="4" w:space="0"/>
        </w:tcBorders>
      </w:tcPr>
    </w:tblStylePr>
    <w:tblStylePr w:type="lastRow">
      <w:rPr>
        <w:rFonts w:ascii="Arial" w:hAnsi="Arial"/>
        <w:b/>
        <w:color w:val="602502" w:themeColor="accent3" w:themeTint="FE" w:themeShade="95"/>
        <w:sz w:val="22"/>
      </w:rPr>
      <w:pPr>
        <w:pBdr/>
        <w:spacing/>
        <w:ind/>
      </w:pPr>
      <w:tblPr>
        <w:tblBorders/>
      </w:tblPr>
      <w:tcPr>
        <w:shd w:val="clear" w:color="ffffff" w:themeColor="light1" w:fill="ffffff" w:themeFill="light1"/>
        <w:tcBorders>
          <w:top w:val="single" w:color="000000" w:themeColor="accent3" w:themeTint="FE"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4">
    <w:name w:val="Grid Table 7 Colorful - Accent 4"/>
    <w:basedOn w:val="800"/>
    <w:uiPriority w:val="99"/>
    <w:pPr>
      <w:pBdr/>
      <w:spacing w:after="0" w:line="240" w:lineRule="auto"/>
      <w:ind/>
    </w:pPr>
    <w:tblPr>
      <w:tblStyleRowBandSize w:val="1"/>
      <w:tblStyleColBandSize w:val="1"/>
      <w:tblInd w:w="0" w:type="dxa"/>
      <w:tblBorders>
        <w:bottom w:val="single" w:color="000000" w:themeColor="accent4" w:themeTint="9A" w:sz="4" w:space="0"/>
        <w:right w:val="single" w:color="000000" w:themeColor="accent4" w:themeTint="9A" w:sz="4" w:space="0"/>
        <w:insideH w:val="single" w:color="000000" w:themeColor="accent4" w:themeTint="9A" w:sz="4" w:space="0"/>
        <w:insideV w:val="single" w:color="000000" w:themeColor="accent4" w:themeTint="9A" w:sz="4" w:space="0"/>
      </w:tblBorders>
    </w:tblPr>
    <w:tcPr>
      <w:tcBorders/>
    </w:tcPr>
    <w:tblStylePr w:type="band1Horz">
      <w:rPr>
        <w:rFonts w:ascii="Arial" w:hAnsi="Arial"/>
        <w:color w:val="9703ad" w:themeColor="accent4" w:themeTint="9A" w:themeShade="95"/>
        <w:sz w:val="22"/>
      </w:rPr>
      <w:pPr>
        <w:pBdr/>
        <w:spacing/>
        <w:ind/>
      </w:pPr>
      <w:tblPr>
        <w:tblBorders/>
      </w:tblPr>
      <w:tcPr>
        <w:shd w:val="clear" w:color="ffffff" w:themeColor="accent4" w:themeTint="34" w:fill="f5bafe" w:themeFill="accent4" w:themeFillTint="34"/>
        <w:tcBorders/>
      </w:tcPr>
    </w:tblStylePr>
    <w:tblStylePr w:type="band1Vert">
      <w:pPr>
        <w:pBdr/>
        <w:spacing/>
        <w:ind/>
      </w:pPr>
      <w:tblPr>
        <w:tblBorders/>
      </w:tblPr>
      <w:tcPr>
        <w:shd w:val="clear" w:color="ffffff" w:themeColor="accent4" w:themeTint="34" w:fill="f5bafe" w:themeFill="accent4" w:themeFillTint="34"/>
        <w:tcBorders/>
      </w:tcPr>
    </w:tblStylePr>
    <w:tblStylePr w:type="band2Horz">
      <w:rPr>
        <w:rFonts w:ascii="Arial" w:hAnsi="Arial"/>
        <w:color w:val="9703ad"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703ad"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b/>
        <w:color w:val="9703ad"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9703ad"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b/>
        <w:color w:val="9703ad"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5">
    <w:name w:val="Grid Table 7 Colorful - Accent 5"/>
    <w:basedOn w:val="800"/>
    <w:uiPriority w:val="99"/>
    <w:pPr>
      <w:pBdr/>
      <w:spacing w:after="0" w:line="240" w:lineRule="auto"/>
      <w:ind/>
    </w:pPr>
    <w:tblPr>
      <w:tblStyleRowBandSize w:val="1"/>
      <w:tblStyleColBandSize w:val="1"/>
      <w:tblInd w:w="0" w:type="dxa"/>
      <w:tblBorders>
        <w:bottom w:val="single" w:color="000000" w:themeColor="accent5" w:themeTint="90" w:sz="4" w:space="0"/>
        <w:right w:val="single" w:color="000000" w:themeColor="accent5" w:themeTint="90" w:sz="4" w:space="0"/>
        <w:insideH w:val="single" w:color="000000" w:themeColor="accent5" w:themeTint="90" w:sz="4" w:space="0"/>
        <w:insideV w:val="single" w:color="000000" w:themeColor="accent5" w:themeTint="90" w:sz="4" w:space="0"/>
      </w:tblBorders>
    </w:tblPr>
    <w:tcPr>
      <w:tcBorders/>
    </w:tcPr>
    <w:tblStylePr w:type="band1Horz">
      <w:rPr>
        <w:rFonts w:ascii="Arial" w:hAnsi="Arial"/>
        <w:color w:val="755b00" w:themeColor="accent5" w:themeShade="95"/>
        <w:sz w:val="22"/>
      </w:rPr>
      <w:pPr>
        <w:pBdr/>
        <w:spacing/>
        <w:ind/>
      </w:pPr>
      <w:tblPr>
        <w:tblBorders/>
      </w:tblPr>
      <w:tcPr>
        <w:shd w:val="clear" w:color="ffffff" w:themeColor="accent5" w:themeTint="34" w:fill="fff1c0" w:themeFill="accent5" w:themeFillTint="34"/>
        <w:tcBorders/>
      </w:tcPr>
    </w:tblStylePr>
    <w:tblStylePr w:type="band1Vert">
      <w:pPr>
        <w:pBdr/>
        <w:spacing/>
        <w:ind/>
      </w:pPr>
      <w:tblPr>
        <w:tblBorders/>
      </w:tblPr>
      <w:tcPr>
        <w:shd w:val="clear" w:color="ffffff" w:themeColor="accent5" w:themeTint="34" w:fill="fff1c0" w:themeFill="accent5" w:themeFillTint="34"/>
        <w:tcBorders/>
      </w:tcPr>
    </w:tblStylePr>
    <w:tblStylePr w:type="band2Horz">
      <w:rPr>
        <w:rFonts w:ascii="Arial" w:hAnsi="Arial"/>
        <w:color w:val="755b00" w:themeColor="accent5"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5b00" w:themeColor="accent5"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0" w:sz="4" w:space="0"/>
        </w:tcBorders>
      </w:tcPr>
    </w:tblStylePr>
    <w:tblStylePr w:type="firstRow">
      <w:rPr>
        <w:rFonts w:ascii="Arial" w:hAnsi="Arial"/>
        <w:b/>
        <w:color w:val="755b00" w:themeColor="accent5"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0" w:sz="4" w:space="0"/>
          <w:right w:val="none" w:color="000000" w:sz="4" w:space="0"/>
        </w:tcBorders>
      </w:tcPr>
    </w:tblStylePr>
    <w:tblStylePr w:type="lastCol">
      <w:rPr>
        <w:rFonts w:ascii="Arial" w:hAnsi="Arial"/>
        <w:i/>
        <w:color w:val="755b00" w:themeColor="accent5" w:themeShade="95"/>
        <w:sz w:val="22"/>
      </w:rPr>
      <w:pPr>
        <w:pBdr/>
        <w:spacing/>
        <w:ind/>
      </w:pPr>
      <w:tblPr>
        <w:tblBorders/>
      </w:tblPr>
      <w:tcPr>
        <w:shd w:val="clear" w:color="ffffff"/>
        <w:tcBorders>
          <w:top w:val="none" w:color="000000" w:sz="4" w:space="0"/>
          <w:left w:val="single" w:color="000000" w:themeColor="accent5" w:themeTint="90" w:sz="4" w:space="0"/>
          <w:bottom w:val="none" w:color="000000" w:sz="4" w:space="0"/>
          <w:right w:val="none" w:color="000000" w:sz="4" w:space="0"/>
        </w:tcBorders>
      </w:tcPr>
    </w:tblStylePr>
    <w:tblStylePr w:type="lastRow">
      <w:rPr>
        <w:rFonts w:ascii="Arial" w:hAnsi="Arial"/>
        <w:b/>
        <w:color w:val="755b00" w:themeColor="accent5" w:themeShade="95"/>
        <w:sz w:val="22"/>
      </w:rPr>
      <w:pPr>
        <w:pBdr/>
        <w:spacing/>
        <w:ind/>
      </w:pPr>
      <w:tblPr>
        <w:tblBorders/>
      </w:tblPr>
      <w:tcPr>
        <w:shd w:val="clear" w:color="ffffff" w:themeColor="light1" w:fill="ffffff" w:themeFill="light1"/>
        <w:tcBorders>
          <w:top w:val="single" w:color="000000" w:themeColor="accent5"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6">
    <w:name w:val="Grid Table 7 Colorful - Accent 6"/>
    <w:basedOn w:val="800"/>
    <w:uiPriority w:val="99"/>
    <w:pPr>
      <w:pBdr/>
      <w:spacing w:after="0" w:line="240" w:lineRule="auto"/>
      <w:ind/>
    </w:pPr>
    <w:tblPr>
      <w:tblStyleRowBandSize w:val="1"/>
      <w:tblStyleColBandSize w:val="1"/>
      <w:tblInd w:w="0" w:type="dxa"/>
      <w:tblBorders>
        <w:bottom w:val="single" w:color="000000" w:themeColor="accent6" w:themeTint="90" w:sz="4" w:space="0"/>
        <w:right w:val="single" w:color="000000" w:themeColor="accent6" w:themeTint="90" w:sz="4" w:space="0"/>
        <w:insideH w:val="single" w:color="000000" w:themeColor="accent6" w:themeTint="90" w:sz="4" w:space="0"/>
        <w:insideV w:val="single" w:color="000000" w:themeColor="accent6" w:themeTint="90" w:sz="4" w:space="0"/>
      </w:tblBorders>
    </w:tblPr>
    <w:tcPr>
      <w:tcBorders/>
    </w:tcPr>
    <w:tblStylePr w:type="band1Horz">
      <w:rPr>
        <w:rFonts w:ascii="Arial" w:hAnsi="Arial"/>
        <w:color w:val="751312" w:themeColor="accent6" w:themeShade="95"/>
        <w:sz w:val="22"/>
      </w:rPr>
      <w:pPr>
        <w:pBdr/>
        <w:spacing/>
        <w:ind/>
      </w:pPr>
      <w:tblPr>
        <w:tblBorders/>
      </w:tblPr>
      <w:tcPr>
        <w:shd w:val="clear" w:color="ffffff" w:themeColor="accent6" w:themeTint="34" w:fill="f8cecd" w:themeFill="accent6" w:themeFillTint="34"/>
        <w:tcBorders/>
      </w:tcPr>
    </w:tblStylePr>
    <w:tblStylePr w:type="band1Vert">
      <w:pPr>
        <w:pBdr/>
        <w:spacing/>
        <w:ind/>
      </w:pPr>
      <w:tblPr>
        <w:tblBorders/>
      </w:tblPr>
      <w:tcPr>
        <w:shd w:val="clear" w:color="ffffff" w:themeColor="accent6" w:themeTint="34" w:fill="f8cecd" w:themeFill="accent6" w:themeFillTint="34"/>
        <w:tcBorders/>
      </w:tcPr>
    </w:tblStylePr>
    <w:tblStylePr w:type="band2Horz">
      <w:rPr>
        <w:rFonts w:ascii="Arial" w:hAnsi="Arial"/>
        <w:color w:val="751312" w:themeColor="accent6"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751312" w:themeColor="accent6"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0" w:sz="4" w:space="0"/>
        </w:tcBorders>
      </w:tcPr>
    </w:tblStylePr>
    <w:tblStylePr w:type="firstRow">
      <w:rPr>
        <w:rFonts w:ascii="Arial" w:hAnsi="Arial"/>
        <w:b/>
        <w:color w:val="751312" w:themeColor="accent6"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0" w:sz="4" w:space="0"/>
          <w:right w:val="none" w:color="000000" w:sz="4" w:space="0"/>
        </w:tcBorders>
      </w:tcPr>
    </w:tblStylePr>
    <w:tblStylePr w:type="lastCol">
      <w:rPr>
        <w:rFonts w:ascii="Arial" w:hAnsi="Arial"/>
        <w:i/>
        <w:color w:val="751312" w:themeColor="accent6" w:themeShade="95"/>
        <w:sz w:val="22"/>
      </w:rPr>
      <w:pPr>
        <w:pBdr/>
        <w:spacing/>
        <w:ind/>
      </w:pPr>
      <w:tblPr>
        <w:tblBorders/>
      </w:tblPr>
      <w:tcPr>
        <w:shd w:val="clear" w:color="ffffff"/>
        <w:tcBorders>
          <w:top w:val="none" w:color="000000" w:sz="4" w:space="0"/>
          <w:left w:val="single" w:color="000000" w:themeColor="accent6" w:themeTint="90" w:sz="4" w:space="0"/>
          <w:bottom w:val="none" w:color="000000" w:sz="4" w:space="0"/>
          <w:right w:val="none" w:color="000000" w:sz="4" w:space="0"/>
        </w:tcBorders>
      </w:tcPr>
    </w:tblStylePr>
    <w:tblStylePr w:type="lastRow">
      <w:rPr>
        <w:rFonts w:ascii="Arial" w:hAnsi="Arial"/>
        <w:b/>
        <w:color w:val="751312" w:themeColor="accent6" w:themeShade="95"/>
        <w:sz w:val="22"/>
      </w:rPr>
      <w:pPr>
        <w:pBdr/>
        <w:spacing/>
        <w:ind/>
      </w:pPr>
      <w:tblPr>
        <w:tblBorders/>
      </w:tblPr>
      <w:tcPr>
        <w:shd w:val="clear" w:color="ffffff" w:themeColor="light1" w:fill="ffffff" w:themeFill="light1"/>
        <w:tcBorders>
          <w:top w:val="single" w:color="000000" w:themeColor="accent6" w:themeTint="9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7">
    <w:name w:val="List Table 1 Light"/>
    <w:basedOn w:val="80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tex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tex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8">
    <w:name w:val="List Table 1 Light - Accent 1"/>
    <w:basedOn w:val="80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1" w:themeTint="40" w:fill="b5fdaa" w:themeFill="accent1" w:themeFillTint="40"/>
        <w:tcBorders/>
      </w:tcPr>
    </w:tblStylePr>
    <w:tblStylePr w:type="band1Vert">
      <w:pPr>
        <w:pBdr/>
        <w:spacing/>
        <w:ind/>
      </w:pPr>
      <w:tblPr>
        <w:tblBorders/>
      </w:tblPr>
      <w:tcPr>
        <w:shd w:val="clear" w:color="ffffff" w:themeColor="accent1" w:themeTint="40" w:fill="b5fdaa"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1"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59">
    <w:name w:val="List Table 1 Light - Accent 2"/>
    <w:basedOn w:val="80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2" w:themeTint="40" w:fill="aadffd" w:themeFill="accent2" w:themeFillTint="40"/>
        <w:tcBorders/>
      </w:tcPr>
    </w:tblStylePr>
    <w:tblStylePr w:type="band1Vert">
      <w:pPr>
        <w:pBdr/>
        <w:spacing/>
        <w:ind/>
      </w:pPr>
      <w:tblPr>
        <w:tblBorders/>
      </w:tblPr>
      <w:tcPr>
        <w:shd w:val="clear" w:color="ffffff" w:themeColor="accent2" w:themeTint="40" w:fill="aadffd"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2"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2"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0">
    <w:name w:val="List Table 1 Light - Accent 3"/>
    <w:basedOn w:val="80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3" w:themeTint="40" w:fill="fdc9aa" w:themeFill="accent3" w:themeFillTint="40"/>
        <w:tcBorders/>
      </w:tcPr>
    </w:tblStylePr>
    <w:tblStylePr w:type="band1Vert">
      <w:pPr>
        <w:pBdr/>
        <w:spacing/>
        <w:ind/>
      </w:pPr>
      <w:tblPr>
        <w:tblBorders/>
      </w:tblPr>
      <w:tcPr>
        <w:shd w:val="clear" w:color="ffffff" w:themeColor="accent3" w:themeTint="40" w:fill="fdc9aa"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3"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3"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1">
    <w:name w:val="List Table 1 Light - Accent 4"/>
    <w:basedOn w:val="80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4" w:themeTint="40" w:fill="f3aafd" w:themeFill="accent4" w:themeFillTint="40"/>
        <w:tcBorders/>
      </w:tcPr>
    </w:tblStylePr>
    <w:tblStylePr w:type="band1Vert">
      <w:pPr>
        <w:pBdr/>
        <w:spacing/>
        <w:ind/>
      </w:pPr>
      <w:tblPr>
        <w:tblBorders/>
      </w:tblPr>
      <w:tcPr>
        <w:shd w:val="clear" w:color="ffffff" w:themeColor="accent4" w:themeTint="40" w:fill="f3aafd"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4"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4"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2">
    <w:name w:val="List Table 1 Light - Accent 5"/>
    <w:basedOn w:val="80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5" w:themeTint="40" w:fill="ffeeb1" w:themeFill="accent5" w:themeFillTint="40"/>
        <w:tcBorders/>
      </w:tcPr>
    </w:tblStylePr>
    <w:tblStylePr w:type="band1Vert">
      <w:pPr>
        <w:pBdr/>
        <w:spacing/>
        <w:ind/>
      </w:pPr>
      <w:tblPr>
        <w:tblBorders/>
      </w:tblPr>
      <w:tcPr>
        <w:shd w:val="clear" w:color="ffffff" w:themeColor="accent5" w:themeTint="40" w:fill="ffeeb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5"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5"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3">
    <w:name w:val="List Table 1 Light - Accent 6"/>
    <w:basedOn w:val="800"/>
    <w:uiPriority w:val="99"/>
    <w:pPr>
      <w:pBdr/>
      <w:spacing w:after="0" w:line="240" w:lineRule="auto"/>
      <w:ind/>
    </w:pPr>
    <w:tblPr>
      <w:tblStyleRowBandSize w:val="1"/>
      <w:tblStyleColBandSize w:val="1"/>
      <w:tblInd w:w="0" w:type="dxa"/>
      <w:tblBorders/>
    </w:tblPr>
    <w:tcPr>
      <w:tcBorders/>
    </w:tcPr>
    <w:tblStylePr w:type="band1Horz">
      <w:pPr>
        <w:pBdr/>
        <w:spacing/>
        <w:ind/>
      </w:pPr>
      <w:tblPr>
        <w:tblBorders/>
      </w:tblPr>
      <w:tcPr>
        <w:shd w:val="clear" w:color="ffffff" w:themeColor="accent6" w:themeTint="40" w:fill="f6c3c2" w:themeFill="accent6" w:themeFillTint="40"/>
        <w:tcBorders/>
      </w:tcPr>
    </w:tblStylePr>
    <w:tblStylePr w:type="band1Vert">
      <w:pPr>
        <w:pBdr/>
        <w:spacing/>
        <w:ind/>
      </w:pPr>
      <w:tblPr>
        <w:tblBorders/>
      </w:tblPr>
      <w:tcPr>
        <w:shd w:val="clear" w:color="ffffff" w:themeColor="accent6" w:themeTint="40" w:fill="f6c3c2"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b/>
        <w:color w:val="404040"/>
      </w:rPr>
      <w:pPr>
        <w:pBdr/>
        <w:spacing/>
        <w:ind/>
      </w:pPr>
      <w:tblPr>
        <w:tblBorders/>
      </w:tblPr>
      <w:tcPr>
        <w:tcBorders>
          <w:top w:val="none" w:color="000000" w:sz="4" w:space="0"/>
          <w:left w:val="none" w:color="000000" w:sz="4" w:space="0"/>
          <w:bottom w:val="single" w:color="000000" w:themeColor="accent6" w:sz="4" w:space="0"/>
          <w:right w:val="none" w:color="000000" w:sz="4" w:space="0"/>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op w:val="single" w:color="000000" w:themeColor="accent6"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4">
    <w:name w:val="List Table 2"/>
    <w:basedOn w:val="800"/>
    <w:uiPriority w:val="99"/>
    <w:pPr>
      <w:pBdr/>
      <w:spacing w:after="0" w:line="240" w:lineRule="auto"/>
      <w:ind/>
    </w:pPr>
    <w:tblPr>
      <w:tblStyleRowBandSize w:val="1"/>
      <w:tblStyleColBandSize w:val="1"/>
      <w:tblInd w:w="0" w:type="dxa"/>
      <w:tblBorders>
        <w:top w:val="single" w:color="000000" w:themeColor="text1" w:themeTint="90" w:sz="4" w:space="0"/>
        <w:bottom w:val="single" w:color="000000" w:themeColor="text1" w:themeTint="90" w:sz="4" w:space="0"/>
        <w:insideH w:val="single" w:color="000000" w:themeColor="text1" w:themeTint="90"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text1" w:themeTint="90" w:sz="4" w:space="0"/>
          <w:left w:val="none" w:color="000000" w:sz="4" w:space="0"/>
          <w:bottom w:val="single" w:color="000000" w:themeColor="tex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5">
    <w:name w:val="List Table 2 - Accent 1"/>
    <w:basedOn w:val="800"/>
    <w:uiPriority w:val="99"/>
    <w:pPr>
      <w:pBdr/>
      <w:spacing w:after="0" w:line="240" w:lineRule="auto"/>
      <w:ind/>
    </w:pPr>
    <w:tblPr>
      <w:tblStyleRowBandSize w:val="1"/>
      <w:tblStyleColBandSize w:val="1"/>
      <w:tblInd w:w="0" w:type="dxa"/>
      <w:tblBorders>
        <w:top w:val="single" w:color="000000" w:themeColor="accent1" w:themeTint="90" w:sz="4" w:space="0"/>
        <w:bottom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b5fdaa"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b5fdaa"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1" w:themeTint="90" w:sz="4" w:space="0"/>
          <w:left w:val="none" w:color="000000" w:sz="4" w:space="0"/>
          <w:bottom w:val="single" w:color="000000" w:themeColor="accent1"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6">
    <w:name w:val="List Table 2 - Accent 2"/>
    <w:basedOn w:val="800"/>
    <w:uiPriority w:val="99"/>
    <w:pPr>
      <w:pBdr/>
      <w:spacing w:after="0" w:line="240" w:lineRule="auto"/>
      <w:ind/>
    </w:pPr>
    <w:tblPr>
      <w:tblStyleRowBandSize w:val="1"/>
      <w:tblStyleColBandSize w:val="1"/>
      <w:tblInd w:w="0" w:type="dxa"/>
      <w:tblBorders>
        <w:top w:val="single" w:color="000000" w:themeColor="accent2" w:themeTint="90" w:sz="4" w:space="0"/>
        <w:bottom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aadffd"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aadffd"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2" w:themeTint="90" w:sz="4" w:space="0"/>
          <w:left w:val="none" w:color="000000" w:sz="4" w:space="0"/>
          <w:bottom w:val="single" w:color="000000" w:themeColor="accent2"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7">
    <w:name w:val="List Table 2 - Accent 3"/>
    <w:basedOn w:val="800"/>
    <w:uiPriority w:val="99"/>
    <w:pPr>
      <w:pBdr/>
      <w:spacing w:after="0" w:line="240" w:lineRule="auto"/>
      <w:ind/>
    </w:pPr>
    <w:tblPr>
      <w:tblStyleRowBandSize w:val="1"/>
      <w:tblStyleColBandSize w:val="1"/>
      <w:tblInd w:w="0" w:type="dxa"/>
      <w:tblBorders>
        <w:top w:val="single" w:color="000000" w:themeColor="accent3" w:themeTint="90" w:sz="4" w:space="0"/>
        <w:bottom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fdc9aa"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fdc9aa"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3" w:themeTint="90" w:sz="4" w:space="0"/>
          <w:left w:val="none" w:color="000000" w:sz="4" w:space="0"/>
          <w:bottom w:val="single" w:color="000000" w:themeColor="accent3"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8">
    <w:name w:val="List Table 2 - Accent 4"/>
    <w:basedOn w:val="800"/>
    <w:uiPriority w:val="99"/>
    <w:pPr>
      <w:pBdr/>
      <w:spacing w:after="0" w:line="240" w:lineRule="auto"/>
      <w:ind/>
    </w:pPr>
    <w:tblPr>
      <w:tblStyleRowBandSize w:val="1"/>
      <w:tblStyleColBandSize w:val="1"/>
      <w:tblInd w:w="0" w:type="dxa"/>
      <w:tblBorders>
        <w:top w:val="single" w:color="000000" w:themeColor="accent4" w:themeTint="90" w:sz="4" w:space="0"/>
        <w:bottom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3aafd"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3aafd"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4" w:themeTint="90" w:sz="4" w:space="0"/>
          <w:left w:val="none" w:color="000000" w:sz="4" w:space="0"/>
          <w:bottom w:val="single" w:color="000000" w:themeColor="accent4"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69">
    <w:name w:val="List Table 2 - Accent 5"/>
    <w:basedOn w:val="800"/>
    <w:uiPriority w:val="99"/>
    <w:pPr>
      <w:pBdr/>
      <w:spacing w:after="0" w:line="240" w:lineRule="auto"/>
      <w:ind/>
    </w:pPr>
    <w:tblPr>
      <w:tblStyleRowBandSize w:val="1"/>
      <w:tblStyleColBandSize w:val="1"/>
      <w:tblInd w:w="0" w:type="dxa"/>
      <w:tblBorders>
        <w:top w:val="single" w:color="000000" w:themeColor="accent5" w:themeTint="90" w:sz="4" w:space="0"/>
        <w:bottom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ffeeb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ffeeb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5" w:themeTint="90" w:sz="4" w:space="0"/>
          <w:left w:val="none" w:color="000000" w:sz="4" w:space="0"/>
          <w:bottom w:val="single" w:color="000000" w:themeColor="accent5"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0">
    <w:name w:val="List Table 2 - Accent 6"/>
    <w:basedOn w:val="800"/>
    <w:uiPriority w:val="99"/>
    <w:pPr>
      <w:pBdr/>
      <w:spacing w:after="0" w:line="240" w:lineRule="auto"/>
      <w:ind/>
    </w:pPr>
    <w:tblPr>
      <w:tblStyleRowBandSize w:val="1"/>
      <w:tblStyleColBandSize w:val="1"/>
      <w:tblInd w:w="0" w:type="dxa"/>
      <w:tblBorders>
        <w:top w:val="single" w:color="000000" w:themeColor="accent6" w:themeTint="90" w:sz="4" w:space="0"/>
        <w:bottom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6c3c2"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6c3c2"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b/>
        <w:color w:val="404040"/>
        <w:sz w:val="22"/>
      </w:rPr>
      <w:pPr>
        <w:pBdr/>
        <w:spacing/>
        <w:ind/>
      </w:pPr>
      <w:tblPr>
        <w:tblBorders/>
      </w:tblPr>
      <w:tcPr>
        <w:tcBorders/>
      </w:tcPr>
    </w:tblStylePr>
    <w:tblStylePr w:type="fir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lastCol">
      <w:rPr>
        <w:rFonts w:ascii="Arial" w:hAnsi="Arial"/>
        <w:b/>
        <w:color w:val="404040"/>
        <w:sz w:val="22"/>
      </w:rPr>
      <w:pPr>
        <w:pBdr/>
        <w:spacing/>
        <w:ind/>
      </w:pPr>
      <w:tblPr>
        <w:tblBorders/>
      </w:tblPr>
      <w:tcPr>
        <w:tcBorders/>
      </w:tcPr>
    </w:tblStylePr>
    <w:tblStylePr w:type="lastRow">
      <w:rPr>
        <w:rFonts w:ascii="Arial" w:hAnsi="Arial"/>
        <w:b/>
        <w:color w:val="404040"/>
        <w:sz w:val="22"/>
      </w:rPr>
      <w:pPr>
        <w:pBdr/>
        <w:spacing/>
        <w:ind/>
      </w:pPr>
      <w:tblPr>
        <w:tblBorders/>
      </w:tblPr>
      <w:tcPr>
        <w:tcBorders>
          <w:top w:val="single" w:color="000000" w:themeColor="accent6" w:themeTint="90" w:sz="4" w:space="0"/>
          <w:left w:val="none" w:color="000000" w:sz="4" w:space="0"/>
          <w:bottom w:val="single" w:color="000000" w:themeColor="accent6" w:themeTint="9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1">
    <w:name w:val="List Table 3"/>
    <w:basedOn w:val="800"/>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tblBorders>
    </w:tblPr>
    <w:tcPr>
      <w:tcBorders/>
    </w:tcPr>
    <w:tblStylePr w:type="band1Horz">
      <w:rPr>
        <w:rFonts w:ascii="Arial" w:hAnsi="Arial"/>
        <w:color w:val="404040"/>
        <w:sz w:val="22"/>
      </w:rPr>
      <w:pPr>
        <w:pBdr/>
        <w:spacing/>
        <w:ind/>
      </w:pPr>
      <w:tblPr>
        <w:tblBorders/>
      </w:tblPr>
      <w:tcPr>
        <w:tcBorders>
          <w:top w:val="single" w:color="000000" w:themeColor="text1" w:sz="4" w:space="0"/>
          <w:bottom w:val="single" w:color="000000" w:themeColor="text1" w:sz="4" w:space="0"/>
        </w:tcBorders>
      </w:tcPr>
    </w:tblStylePr>
    <w:tblStylePr w:type="band1Vert">
      <w:rPr>
        <w:rFonts w:ascii="Arial" w:hAnsi="Arial"/>
        <w:color w:val="404040"/>
        <w:sz w:val="22"/>
      </w:rPr>
      <w:pPr>
        <w:pBdr/>
        <w:spacing/>
        <w:ind/>
      </w:pPr>
      <w:tblPr>
        <w:tblBorders/>
      </w:tblPr>
      <w:tcPr>
        <w:tcBorders>
          <w:left w:val="single" w:color="000000" w:themeColor="text1" w:sz="4" w:space="0"/>
          <w:right w:val="single" w:color="000000" w:themeColor="tex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2">
    <w:name w:val="List Table 3 - Accent 1"/>
    <w:basedOn w:val="800"/>
    <w:uiPriority w:val="99"/>
    <w:pPr>
      <w:pBdr/>
      <w:spacing w:after="0" w:line="240" w:lineRule="auto"/>
      <w:ind/>
    </w:pPr>
    <w:tblPr>
      <w:tblStyleRowBandSize w:val="1"/>
      <w:tblStyleColBandSize w:val="1"/>
      <w:tblInd w:w="0" w:type="dxa"/>
      <w:tblBorders>
        <w:top w:val="single" w:color="000000" w:themeColor="accent1" w:sz="4" w:space="0"/>
        <w:left w:val="single" w:color="000000" w:themeColor="accent1" w:sz="4" w:space="0"/>
        <w:bottom w:val="single" w:color="000000" w:themeColor="accent1" w:sz="4" w:space="0"/>
        <w:right w:val="single" w:color="000000" w:themeColor="accent1" w:sz="4" w:space="0"/>
      </w:tblBorders>
    </w:tblPr>
    <w:tcPr>
      <w:tcBorders/>
    </w:tcPr>
    <w:tblStylePr w:type="band1Horz">
      <w:rPr>
        <w:rFonts w:ascii="Arial" w:hAnsi="Arial"/>
        <w:color w:val="404040"/>
        <w:sz w:val="22"/>
      </w:rPr>
      <w:pPr>
        <w:pBdr/>
        <w:spacing/>
        <w:ind/>
      </w:pPr>
      <w:tblPr>
        <w:tblBorders/>
      </w:tblPr>
      <w:tcPr>
        <w:tcBorders>
          <w:top w:val="single" w:color="000000" w:themeColor="accent1" w:sz="4" w:space="0"/>
          <w:bottom w:val="single" w:color="000000" w:themeColor="accent1" w:sz="4" w:space="0"/>
        </w:tcBorders>
      </w:tcPr>
    </w:tblStylePr>
    <w:tblStylePr w:type="band1Vert">
      <w:rPr>
        <w:rFonts w:ascii="Arial" w:hAnsi="Arial"/>
        <w:color w:val="404040"/>
        <w:sz w:val="22"/>
      </w:rPr>
      <w:pPr>
        <w:pBdr/>
        <w:spacing/>
        <w:ind/>
      </w:pPr>
      <w:tblPr>
        <w:tblBorders/>
      </w:tblPr>
      <w:tcPr>
        <w:tcBorders>
          <w:left w:val="single" w:color="000000" w:themeColor="accent1" w:sz="4" w:space="0"/>
          <w:right w:val="single" w:color="000000" w:themeColor="accent1"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18a303"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3">
    <w:name w:val="List Table 3 - Accent 2"/>
    <w:basedOn w:val="800"/>
    <w:uiPriority w:val="99"/>
    <w:pPr>
      <w:pBdr/>
      <w:spacing w:after="0" w:line="240" w:lineRule="auto"/>
      <w:ind/>
    </w:pPr>
    <w:tblPr>
      <w:tblStyleRowBandSize w:val="1"/>
      <w:tblStyleColBandSize w:val="1"/>
      <w:tblInd w:w="0" w:type="dxa"/>
      <w:tblBorders>
        <w:top w:val="single" w:color="000000" w:themeColor="accent2" w:themeTint="97" w:sz="4" w:space="0"/>
        <w:left w:val="single" w:color="000000" w:themeColor="accent2" w:themeTint="97" w:sz="4" w:space="0"/>
        <w:bottom w:val="single" w:color="000000" w:themeColor="accent2" w:themeTint="97" w:sz="4" w:space="0"/>
        <w:right w:val="single" w:color="000000" w:themeColor="accent2" w:themeTint="9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97" w:sz="4" w:space="0"/>
          <w:bottom w:val="single" w:color="000000" w:themeColor="accent2" w:themeTint="97" w:sz="4" w:space="0"/>
        </w:tcBorders>
      </w:tcPr>
    </w:tblStylePr>
    <w:tblStylePr w:type="band1Vert">
      <w:rPr>
        <w:rFonts w:ascii="Arial" w:hAnsi="Arial"/>
        <w:color w:val="404040"/>
        <w:sz w:val="22"/>
      </w:rPr>
      <w:pPr>
        <w:pBdr/>
        <w:spacing/>
        <w:ind/>
      </w:pPr>
      <w:tblPr>
        <w:tblBorders/>
      </w:tblPr>
      <w:tcPr>
        <w:tcBorders>
          <w:left w:val="single" w:color="000000" w:themeColor="accent2" w:themeTint="97" w:sz="4" w:space="0"/>
          <w:right w:val="single" w:color="000000" w:themeColor="accent2" w:themeTint="97"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themeTint="97" w:fill="37b4fb" w:themeFill="accent2" w:themeFillTint="97"/>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4">
    <w:name w:val="List Table 3 - Accent 3"/>
    <w:basedOn w:val="800"/>
    <w:uiPriority w:val="99"/>
    <w:pPr>
      <w:pBdr/>
      <w:spacing w:after="0" w:line="240" w:lineRule="auto"/>
      <w:ind/>
    </w:pPr>
    <w:tblPr>
      <w:tblStyleRowBandSize w:val="1"/>
      <w:tblStyleColBandSize w:val="1"/>
      <w:tblInd w:w="0" w:type="dxa"/>
      <w:tblBorders>
        <w:top w:val="single" w:color="000000" w:themeColor="accent3" w:themeTint="98" w:sz="4" w:space="0"/>
        <w:left w:val="single" w:color="000000" w:themeColor="accent3" w:themeTint="98" w:sz="4" w:space="0"/>
        <w:bottom w:val="single" w:color="000000" w:themeColor="accent3" w:themeTint="98" w:sz="4" w:space="0"/>
        <w:right w:val="single" w:color="000000" w:themeColor="accent3"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98" w:sz="4" w:space="0"/>
          <w:bottom w:val="single" w:color="000000" w:themeColor="accent3" w:themeTint="98" w:sz="4" w:space="0"/>
        </w:tcBorders>
      </w:tcPr>
    </w:tblStylePr>
    <w:tblStylePr w:type="band1Vert">
      <w:rPr>
        <w:rFonts w:ascii="Arial" w:hAnsi="Arial"/>
        <w:color w:val="404040"/>
        <w:sz w:val="22"/>
      </w:rPr>
      <w:pPr>
        <w:pBdr/>
        <w:spacing/>
        <w:ind/>
      </w:pPr>
      <w:tblPr>
        <w:tblBorders/>
      </w:tblPr>
      <w:tcPr>
        <w:tcBorders>
          <w:left w:val="single" w:color="000000" w:themeColor="accent3" w:themeTint="98" w:sz="4" w:space="0"/>
          <w:right w:val="single" w:color="000000" w:themeColor="accent3"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themeTint="98" w:fill="fb7f36" w:themeFill="accent3"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5">
    <w:name w:val="List Table 3 - Accent 4"/>
    <w:basedOn w:val="800"/>
    <w:uiPriority w:val="99"/>
    <w:pPr>
      <w:pBdr/>
      <w:spacing w:after="0" w:line="240" w:lineRule="auto"/>
      <w:ind/>
    </w:pPr>
    <w:tblPr>
      <w:tblStyleRowBandSize w:val="1"/>
      <w:tblStyleColBandSize w:val="1"/>
      <w:tblInd w:w="0" w:type="dxa"/>
      <w:tblBorders>
        <w:top w:val="single" w:color="000000" w:themeColor="accent4" w:themeTint="9A" w:sz="4" w:space="0"/>
        <w:left w:val="single" w:color="000000" w:themeColor="accent4" w:themeTint="9A" w:sz="4" w:space="0"/>
        <w:bottom w:val="single" w:color="000000" w:themeColor="accent4" w:themeTint="9A" w:sz="4" w:space="0"/>
        <w:right w:val="single" w:color="000000" w:themeColor="accent4"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9A" w:sz="4" w:space="0"/>
          <w:bottom w:val="single" w:color="000000" w:themeColor="accent4" w:themeTint="9A" w:sz="4" w:space="0"/>
        </w:tcBorders>
      </w:tcPr>
    </w:tblStylePr>
    <w:tblStylePr w:type="band1Vert">
      <w:rPr>
        <w:rFonts w:ascii="Arial" w:hAnsi="Arial"/>
        <w:color w:val="404040"/>
        <w:sz w:val="22"/>
      </w:rPr>
      <w:pPr>
        <w:pBdr/>
        <w:spacing/>
        <w:ind/>
      </w:pPr>
      <w:tblPr>
        <w:tblBorders/>
      </w:tblPr>
      <w:tcPr>
        <w:tcBorders>
          <w:left w:val="single" w:color="000000" w:themeColor="accent4" w:themeTint="9A" w:sz="4" w:space="0"/>
          <w:right w:val="single" w:color="000000" w:themeColor="accent4"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themeTint="9A" w:fill="e133fb" w:themeFill="accent4"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6">
    <w:name w:val="List Table 3 - Accent 5"/>
    <w:basedOn w:val="800"/>
    <w:uiPriority w:val="99"/>
    <w:pPr>
      <w:pBdr/>
      <w:spacing w:after="0" w:line="240" w:lineRule="auto"/>
      <w:ind/>
    </w:pPr>
    <w:tblPr>
      <w:tblStyleRowBandSize w:val="1"/>
      <w:tblStyleColBandSize w:val="1"/>
      <w:tblInd w:w="0" w:type="dxa"/>
      <w:tblBorders>
        <w:top w:val="single" w:color="000000" w:themeColor="accent5" w:themeTint="9A" w:sz="4" w:space="0"/>
        <w:left w:val="single" w:color="000000" w:themeColor="accent5" w:themeTint="9A" w:sz="4" w:space="0"/>
        <w:bottom w:val="single" w:color="000000" w:themeColor="accent5" w:themeTint="9A" w:sz="4" w:space="0"/>
        <w:right w:val="single" w:color="000000" w:themeColor="accent5" w:themeTint="9A"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9A" w:sz="4" w:space="0"/>
          <w:bottom w:val="single" w:color="000000" w:themeColor="accent5" w:themeTint="9A" w:sz="4" w:space="0"/>
        </w:tcBorders>
      </w:tcPr>
    </w:tblStylePr>
    <w:tblStylePr w:type="band1Vert">
      <w:rPr>
        <w:rFonts w:ascii="Arial" w:hAnsi="Arial"/>
        <w:color w:val="404040"/>
        <w:sz w:val="22"/>
      </w:rPr>
      <w:pPr>
        <w:pBdr/>
        <w:spacing/>
        <w:ind/>
      </w:pPr>
      <w:tblPr>
        <w:tblBorders/>
      </w:tblPr>
      <w:tcPr>
        <w:tcBorders>
          <w:left w:val="single" w:color="000000" w:themeColor="accent5" w:themeTint="9A" w:sz="4" w:space="0"/>
          <w:right w:val="single" w:color="000000" w:themeColor="accent5" w:themeTint="9A"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themeTint="9A" w:fill="ffd544" w:themeFill="accent5" w:themeFillTint="9A"/>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7">
    <w:name w:val="List Table 3 - Accent 6"/>
    <w:basedOn w:val="800"/>
    <w:uiPriority w:val="99"/>
    <w:pPr>
      <w:pBdr/>
      <w:spacing w:after="0" w:line="240" w:lineRule="auto"/>
      <w:ind/>
    </w:pPr>
    <w:tblPr>
      <w:tblStyleRowBandSize w:val="1"/>
      <w:tblStyleColBandSize w:val="1"/>
      <w:tblInd w:w="0" w:type="dxa"/>
      <w:tblBorders>
        <w:top w:val="single" w:color="000000" w:themeColor="accent6" w:themeTint="98" w:sz="4" w:space="0"/>
        <w:left w:val="single" w:color="000000" w:themeColor="accent6" w:themeTint="98" w:sz="4" w:space="0"/>
        <w:bottom w:val="single" w:color="000000" w:themeColor="accent6" w:themeTint="98" w:sz="4" w:space="0"/>
        <w:right w:val="single" w:color="000000" w:themeColor="accent6" w:themeTint="98"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98" w:sz="4" w:space="0"/>
          <w:bottom w:val="single" w:color="000000" w:themeColor="accent6" w:themeTint="98" w:sz="4" w:space="0"/>
        </w:tcBorders>
      </w:tcPr>
    </w:tblStylePr>
    <w:tblStylePr w:type="band1Vert">
      <w:rPr>
        <w:rFonts w:ascii="Arial" w:hAnsi="Arial"/>
        <w:color w:val="404040"/>
        <w:sz w:val="22"/>
      </w:rPr>
      <w:pPr>
        <w:pBdr/>
        <w:spacing/>
        <w:ind/>
      </w:pPr>
      <w:tblPr>
        <w:tblBorders/>
      </w:tblPr>
      <w:tcPr>
        <w:tcBorders>
          <w:left w:val="single" w:color="000000" w:themeColor="accent6" w:themeTint="98" w:sz="4" w:space="0"/>
          <w:right w:val="single" w:color="000000" w:themeColor="accent6" w:themeTint="98" w:sz="4" w:space="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themeTint="98" w:fill="e9706e" w:themeFill="accent6" w:themeFillTint="98"/>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8">
    <w:name w:val="List Table 4"/>
    <w:basedOn w:val="800"/>
    <w:uiPriority w:val="99"/>
    <w:pPr>
      <w:pBdr/>
      <w:spacing w:after="0" w:line="240" w:lineRule="auto"/>
      <w:ind/>
    </w:pPr>
    <w:tblPr>
      <w:tblStyleRowBandSize w:val="1"/>
      <w:tblStyleColBandSize w:val="1"/>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Pr>
    <w:tcPr>
      <w:tcBorders/>
    </w:tcPr>
    <w:tblStylePr w:type="band1Horz">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1Vert">
      <w:rPr>
        <w:rFonts w:ascii="Arial" w:hAnsi="Arial"/>
        <w:color w:val="404040"/>
        <w:sz w:val="22"/>
      </w:rPr>
      <w:pPr>
        <w:pBdr/>
        <w:spacing/>
        <w:ind/>
      </w:pPr>
      <w:tblPr>
        <w:tblBorders/>
      </w:tblPr>
      <w:tcPr>
        <w:shd w:val="clear" w:color="ffffff" w:themeColor="text1" w:themeTint="40" w:fill="bfbfbf" w:themeFill="tex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text1" w:fill="000000" w:themeFill="tex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79">
    <w:name w:val="List Table 4 - Accent 1"/>
    <w:basedOn w:val="800"/>
    <w:uiPriority w:val="99"/>
    <w:pPr>
      <w:pBdr/>
      <w:spacing w:after="0" w:line="240" w:lineRule="auto"/>
      <w:ind/>
    </w:pPr>
    <w:tblPr>
      <w:tblStyleRowBandSize w:val="1"/>
      <w:tblStyleColBandSize w:val="1"/>
      <w:tblInd w:w="0" w:type="dxa"/>
      <w:tblBorders>
        <w:top w:val="single" w:color="000000" w:themeColor="accent1" w:themeTint="90" w:sz="4" w:space="0"/>
        <w:left w:val="single" w:color="000000" w:themeColor="accent1" w:themeTint="90" w:sz="4" w:space="0"/>
        <w:bottom w:val="single" w:color="000000" w:themeColor="accent1" w:themeTint="90" w:sz="4" w:space="0"/>
        <w:right w:val="single" w:color="000000" w:themeColor="accent1" w:themeTint="90" w:sz="4" w:space="0"/>
        <w:insideH w:val="single" w:color="000000" w:themeColor="accent1" w:themeTint="90" w:sz="4" w:space="0"/>
      </w:tblBorders>
    </w:tblPr>
    <w:tcPr>
      <w:tcBorders/>
    </w:tcPr>
    <w:tblStylePr w:type="band1Horz">
      <w:rPr>
        <w:rFonts w:ascii="Arial" w:hAnsi="Arial"/>
        <w:color w:val="404040"/>
        <w:sz w:val="22"/>
      </w:rPr>
      <w:pPr>
        <w:pBdr/>
        <w:spacing/>
        <w:ind/>
      </w:pPr>
      <w:tblPr>
        <w:tblBorders/>
      </w:tblPr>
      <w:tcPr>
        <w:shd w:val="clear" w:color="ffffff" w:themeColor="accent1" w:themeTint="40" w:fill="b5fdaa" w:themeFill="accent1" w:themeFillTint="40"/>
        <w:tcBorders/>
      </w:tcPr>
    </w:tblStylePr>
    <w:tblStylePr w:type="band1Vert">
      <w:rPr>
        <w:rFonts w:ascii="Arial" w:hAnsi="Arial"/>
        <w:color w:val="404040"/>
        <w:sz w:val="22"/>
      </w:rPr>
      <w:pPr>
        <w:pBdr/>
        <w:spacing/>
        <w:ind/>
      </w:pPr>
      <w:tblPr>
        <w:tblBorders/>
      </w:tblPr>
      <w:tcPr>
        <w:shd w:val="clear" w:color="ffffff" w:themeColor="accent1" w:themeTint="40" w:fill="b5fdaa" w:themeFill="accent1"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1" w:fill="18a303" w:themeFill="accent1"/>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0">
    <w:name w:val="List Table 4 - Accent 2"/>
    <w:basedOn w:val="800"/>
    <w:uiPriority w:val="99"/>
    <w:pPr>
      <w:pBdr/>
      <w:spacing w:after="0" w:line="240" w:lineRule="auto"/>
      <w:ind/>
    </w:pPr>
    <w:tblPr>
      <w:tblStyleRowBandSize w:val="1"/>
      <w:tblStyleColBandSize w:val="1"/>
      <w:tblInd w:w="0" w:type="dxa"/>
      <w:tblBorders>
        <w:top w:val="single" w:color="000000" w:themeColor="accent2" w:themeTint="90" w:sz="4" w:space="0"/>
        <w:left w:val="single" w:color="000000" w:themeColor="accent2" w:themeTint="90" w:sz="4" w:space="0"/>
        <w:bottom w:val="single" w:color="000000" w:themeColor="accent2" w:themeTint="90" w:sz="4" w:space="0"/>
        <w:right w:val="single" w:color="000000" w:themeColor="accent2" w:themeTint="90" w:sz="4" w:space="0"/>
        <w:insideH w:val="single" w:color="000000" w:themeColor="accent2" w:themeTint="90" w:sz="4" w:space="0"/>
      </w:tblBorders>
    </w:tblPr>
    <w:tcPr>
      <w:tcBorders/>
    </w:tcPr>
    <w:tblStylePr w:type="band1Horz">
      <w:rPr>
        <w:rFonts w:ascii="Arial" w:hAnsi="Arial"/>
        <w:color w:val="404040"/>
        <w:sz w:val="22"/>
      </w:rPr>
      <w:pPr>
        <w:pBdr/>
        <w:spacing/>
        <w:ind/>
      </w:pPr>
      <w:tblPr>
        <w:tblBorders/>
      </w:tblPr>
      <w:tcPr>
        <w:shd w:val="clear" w:color="ffffff" w:themeColor="accent2" w:themeTint="40" w:fill="aadffd" w:themeFill="accent2" w:themeFillTint="40"/>
        <w:tcBorders/>
      </w:tcPr>
    </w:tblStylePr>
    <w:tblStylePr w:type="band1Vert">
      <w:rPr>
        <w:rFonts w:ascii="Arial" w:hAnsi="Arial"/>
        <w:color w:val="404040"/>
        <w:sz w:val="22"/>
      </w:rPr>
      <w:pPr>
        <w:pBdr/>
        <w:spacing/>
        <w:ind/>
      </w:pPr>
      <w:tblPr>
        <w:tblBorders/>
      </w:tblPr>
      <w:tcPr>
        <w:shd w:val="clear" w:color="ffffff" w:themeColor="accent2" w:themeTint="40" w:fill="aadffd" w:themeFill="accent2"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2" w:fill="0369a3" w:themeFill="accent2"/>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1">
    <w:name w:val="List Table 4 - Accent 3"/>
    <w:basedOn w:val="800"/>
    <w:uiPriority w:val="99"/>
    <w:pPr>
      <w:pBdr/>
      <w:spacing w:after="0" w:line="240" w:lineRule="auto"/>
      <w:ind/>
    </w:pPr>
    <w:tblPr>
      <w:tblStyleRowBandSize w:val="1"/>
      <w:tblStyleColBandSize w:val="1"/>
      <w:tblInd w:w="0" w:type="dxa"/>
      <w:tblBorders>
        <w:top w:val="single" w:color="000000" w:themeColor="accent3" w:themeTint="90" w:sz="4" w:space="0"/>
        <w:left w:val="single" w:color="000000" w:themeColor="accent3" w:themeTint="90" w:sz="4" w:space="0"/>
        <w:bottom w:val="single" w:color="000000" w:themeColor="accent3" w:themeTint="90" w:sz="4" w:space="0"/>
        <w:right w:val="single" w:color="000000" w:themeColor="accent3" w:themeTint="90" w:sz="4" w:space="0"/>
        <w:insideH w:val="single" w:color="000000" w:themeColor="accent3" w:themeTint="90" w:sz="4" w:space="0"/>
      </w:tblBorders>
    </w:tblPr>
    <w:tcPr>
      <w:tcBorders/>
    </w:tcPr>
    <w:tblStylePr w:type="band1Horz">
      <w:rPr>
        <w:rFonts w:ascii="Arial" w:hAnsi="Arial"/>
        <w:color w:val="404040"/>
        <w:sz w:val="22"/>
      </w:rPr>
      <w:pPr>
        <w:pBdr/>
        <w:spacing/>
        <w:ind/>
      </w:pPr>
      <w:tblPr>
        <w:tblBorders/>
      </w:tblPr>
      <w:tcPr>
        <w:shd w:val="clear" w:color="ffffff" w:themeColor="accent3" w:themeTint="40" w:fill="fdc9aa" w:themeFill="accent3" w:themeFillTint="40"/>
        <w:tcBorders/>
      </w:tcPr>
    </w:tblStylePr>
    <w:tblStylePr w:type="band1Vert">
      <w:rPr>
        <w:rFonts w:ascii="Arial" w:hAnsi="Arial"/>
        <w:color w:val="404040"/>
        <w:sz w:val="22"/>
      </w:rPr>
      <w:pPr>
        <w:pBdr/>
        <w:spacing/>
        <w:ind/>
      </w:pPr>
      <w:tblPr>
        <w:tblBorders/>
      </w:tblPr>
      <w:tcPr>
        <w:shd w:val="clear" w:color="ffffff" w:themeColor="accent3" w:themeTint="40" w:fill="fdc9aa" w:themeFill="accent3"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3" w:fill="a33e03" w:themeFill="accent3"/>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2">
    <w:name w:val="List Table 4 - Accent 4"/>
    <w:basedOn w:val="800"/>
    <w:uiPriority w:val="99"/>
    <w:pPr>
      <w:pBdr/>
      <w:spacing w:after="0" w:line="240" w:lineRule="auto"/>
      <w:ind/>
    </w:pPr>
    <w:tblPr>
      <w:tblStyleRowBandSize w:val="1"/>
      <w:tblStyleColBandSize w:val="1"/>
      <w:tblInd w:w="0" w:type="dxa"/>
      <w:tblBorders>
        <w:top w:val="single" w:color="000000" w:themeColor="accent4" w:themeTint="90" w:sz="4" w:space="0"/>
        <w:left w:val="single" w:color="000000" w:themeColor="accent4" w:themeTint="90" w:sz="4" w:space="0"/>
        <w:bottom w:val="single" w:color="000000" w:themeColor="accent4" w:themeTint="90" w:sz="4" w:space="0"/>
        <w:right w:val="single" w:color="000000" w:themeColor="accent4" w:themeTint="90" w:sz="4" w:space="0"/>
        <w:insideH w:val="single" w:color="000000" w:themeColor="accent4" w:themeTint="90" w:sz="4" w:space="0"/>
      </w:tblBorders>
    </w:tblPr>
    <w:tcPr>
      <w:tcBorders/>
    </w:tcPr>
    <w:tblStylePr w:type="band1Horz">
      <w:rPr>
        <w:rFonts w:ascii="Arial" w:hAnsi="Arial"/>
        <w:color w:val="404040"/>
        <w:sz w:val="22"/>
      </w:rPr>
      <w:pPr>
        <w:pBdr/>
        <w:spacing/>
        <w:ind/>
      </w:pPr>
      <w:tblPr>
        <w:tblBorders/>
      </w:tblPr>
      <w:tcPr>
        <w:shd w:val="clear" w:color="ffffff" w:themeColor="accent4" w:themeTint="40" w:fill="f3aafd" w:themeFill="accent4" w:themeFillTint="40"/>
        <w:tcBorders/>
      </w:tcPr>
    </w:tblStylePr>
    <w:tblStylePr w:type="band1Vert">
      <w:rPr>
        <w:rFonts w:ascii="Arial" w:hAnsi="Arial"/>
        <w:color w:val="404040"/>
        <w:sz w:val="22"/>
      </w:rPr>
      <w:pPr>
        <w:pBdr/>
        <w:spacing/>
        <w:ind/>
      </w:pPr>
      <w:tblPr>
        <w:tblBorders/>
      </w:tblPr>
      <w:tcPr>
        <w:shd w:val="clear" w:color="ffffff" w:themeColor="accent4" w:themeTint="40" w:fill="f3aafd" w:themeFill="accent4"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4" w:fill="8e03a3" w:themeFill="accent4"/>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3">
    <w:name w:val="List Table 4 - Accent 5"/>
    <w:basedOn w:val="800"/>
    <w:uiPriority w:val="99"/>
    <w:pPr>
      <w:pBdr/>
      <w:spacing w:after="0" w:line="240" w:lineRule="auto"/>
      <w:ind/>
    </w:pPr>
    <w:tblPr>
      <w:tblStyleRowBandSize w:val="1"/>
      <w:tblStyleColBandSize w:val="1"/>
      <w:tblInd w:w="0" w:type="dxa"/>
      <w:tblBorders>
        <w:top w:val="single" w:color="000000" w:themeColor="accent5" w:themeTint="90" w:sz="4" w:space="0"/>
        <w:left w:val="single" w:color="000000" w:themeColor="accent5" w:themeTint="90" w:sz="4" w:space="0"/>
        <w:bottom w:val="single" w:color="000000" w:themeColor="accent5" w:themeTint="90" w:sz="4" w:space="0"/>
        <w:right w:val="single" w:color="000000" w:themeColor="accent5" w:themeTint="90" w:sz="4" w:space="0"/>
        <w:insideH w:val="single" w:color="000000" w:themeColor="accent5" w:themeTint="90" w:sz="4" w:space="0"/>
      </w:tblBorders>
    </w:tblPr>
    <w:tcPr>
      <w:tcBorders/>
    </w:tcPr>
    <w:tblStylePr w:type="band1Horz">
      <w:rPr>
        <w:rFonts w:ascii="Arial" w:hAnsi="Arial"/>
        <w:color w:val="404040"/>
        <w:sz w:val="22"/>
      </w:rPr>
      <w:pPr>
        <w:pBdr/>
        <w:spacing/>
        <w:ind/>
      </w:pPr>
      <w:tblPr>
        <w:tblBorders/>
      </w:tblPr>
      <w:tcPr>
        <w:shd w:val="clear" w:color="ffffff" w:themeColor="accent5" w:themeTint="40" w:fill="ffeeb1" w:themeFill="accent5" w:themeFillTint="40"/>
        <w:tcBorders/>
      </w:tcPr>
    </w:tblStylePr>
    <w:tblStylePr w:type="band1Vert">
      <w:rPr>
        <w:rFonts w:ascii="Arial" w:hAnsi="Arial"/>
        <w:color w:val="404040"/>
        <w:sz w:val="22"/>
      </w:rPr>
      <w:pPr>
        <w:pBdr/>
        <w:spacing/>
        <w:ind/>
      </w:pPr>
      <w:tblPr>
        <w:tblBorders/>
      </w:tblPr>
      <w:tcPr>
        <w:shd w:val="clear" w:color="ffffff" w:themeColor="accent5" w:themeTint="40" w:fill="ffeeb1" w:themeFill="accent5"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5" w:fill="c99c00" w:themeFill="accent5"/>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4">
    <w:name w:val="List Table 4 - Accent 6"/>
    <w:basedOn w:val="800"/>
    <w:uiPriority w:val="99"/>
    <w:pPr>
      <w:pBdr/>
      <w:spacing w:after="0" w:line="240" w:lineRule="auto"/>
      <w:ind/>
    </w:pPr>
    <w:tblPr>
      <w:tblStyleRowBandSize w:val="1"/>
      <w:tblStyleColBandSize w:val="1"/>
      <w:tblInd w:w="0" w:type="dxa"/>
      <w:tblBorders>
        <w:top w:val="single" w:color="000000" w:themeColor="accent6" w:themeTint="90" w:sz="4" w:space="0"/>
        <w:left w:val="single" w:color="000000" w:themeColor="accent6" w:themeTint="90" w:sz="4" w:space="0"/>
        <w:bottom w:val="single" w:color="000000" w:themeColor="accent6" w:themeTint="90" w:sz="4" w:space="0"/>
        <w:right w:val="single" w:color="000000" w:themeColor="accent6" w:themeTint="90" w:sz="4" w:space="0"/>
        <w:insideH w:val="single" w:color="000000" w:themeColor="accent6" w:themeTint="90" w:sz="4" w:space="0"/>
      </w:tblBorders>
    </w:tblPr>
    <w:tcPr>
      <w:tcBorders/>
    </w:tcPr>
    <w:tblStylePr w:type="band1Horz">
      <w:rPr>
        <w:rFonts w:ascii="Arial" w:hAnsi="Arial"/>
        <w:color w:val="404040"/>
        <w:sz w:val="22"/>
      </w:rPr>
      <w:pPr>
        <w:pBdr/>
        <w:spacing/>
        <w:ind/>
      </w:pPr>
      <w:tblPr>
        <w:tblBorders/>
      </w:tblPr>
      <w:tcPr>
        <w:shd w:val="clear" w:color="ffffff" w:themeColor="accent6" w:themeTint="40" w:fill="f6c3c2" w:themeFill="accent6" w:themeFillTint="40"/>
        <w:tcBorders/>
      </w:tcPr>
    </w:tblStylePr>
    <w:tblStylePr w:type="band1Vert">
      <w:rPr>
        <w:rFonts w:ascii="Arial" w:hAnsi="Arial"/>
        <w:color w:val="404040"/>
        <w:sz w:val="22"/>
      </w:rPr>
      <w:pPr>
        <w:pBdr/>
        <w:spacing/>
        <w:ind/>
      </w:pPr>
      <w:tblPr>
        <w:tblBorders/>
      </w:tblPr>
      <w:tcPr>
        <w:shd w:val="clear" w:color="ffffff" w:themeColor="accent6" w:themeTint="40" w:fill="f6c3c2" w:themeFill="accent6" w:themeFillTint="40"/>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b/>
        <w:color w:val="404040"/>
      </w:rPr>
      <w:pPr>
        <w:pBdr/>
        <w:spacing/>
        <w:ind/>
      </w:pPr>
      <w:tblPr>
        <w:tblBorders/>
      </w:tblPr>
      <w:tcPr>
        <w:tcBorders/>
      </w:tcPr>
    </w:tblStylePr>
    <w:tblStylePr w:type="firstRow">
      <w:rPr>
        <w:rFonts w:ascii="Arial" w:hAnsi="Arial"/>
        <w:b/>
        <w:color w:val="ffffff"/>
        <w:sz w:val="22"/>
      </w:rPr>
      <w:pPr>
        <w:pBdr/>
        <w:spacing/>
        <w:ind/>
      </w:pPr>
      <w:tblPr>
        <w:tblBorders/>
      </w:tblPr>
      <w:tcPr>
        <w:shd w:val="clear" w:color="ffffff" w:themeColor="accent6" w:fill="c9211e" w:themeFill="accent6"/>
        <w:tcBorders/>
      </w:tcPr>
    </w:tblStylePr>
    <w:tblStylePr w:type="lastCol">
      <w:rPr>
        <w:b/>
        <w:color w:val="404040"/>
      </w:rPr>
      <w:pPr>
        <w:pBdr/>
        <w:spacing/>
        <w:ind/>
      </w:pPr>
      <w:tblPr>
        <w:tblBorders/>
      </w:tblPr>
      <w:tcPr>
        <w:tcBorders/>
      </w:tcPr>
    </w:tblStylePr>
    <w:tblStylePr w:type="lastRow">
      <w:rPr>
        <w:b/>
        <w:color w:val="404040"/>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85">
    <w:name w:val="List Table 5 Dark"/>
    <w:basedOn w:val="800"/>
    <w:uiPriority w:val="99"/>
    <w:pPr>
      <w:pBdr/>
      <w:spacing w:after="0" w:line="240" w:lineRule="auto"/>
      <w:ind/>
    </w:pPr>
    <w:tblPr>
      <w:tblStyleRowBandSize w:val="1"/>
      <w:tblStyleColBandSize w:val="1"/>
      <w:tblInd w:w="0" w:type="dxa"/>
      <w:tblBorders>
        <w:top w:val="single" w:color="000000" w:themeColor="text1" w:themeTint="80" w:sz="32" w:space="0"/>
        <w:left w:val="single" w:color="000000" w:themeColor="text1" w:themeTint="80" w:sz="32" w:space="0"/>
        <w:bottom w:val="single" w:color="000000" w:themeColor="text1" w:themeTint="80" w:sz="32" w:space="0"/>
        <w:right w:val="single" w:color="000000" w:themeColor="text1" w:themeTint="80" w:sz="32" w:space="0"/>
      </w:tblBorders>
      <w:shd w:val="clear" w:color="ffffff" w:themeColor="text1" w:themeTint="80" w:fill="7f7f7f" w:themeFill="text1" w:themeFillTint="80"/>
    </w:tblPr>
    <w:tcPr>
      <w:tcBorders/>
    </w:tcPr>
    <w:tblStylePr w:type="band1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text1" w:themeTint="80" w:fill="7f7f7f" w:themeFill="text1" w:themeFillTint="80"/>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text1" w:themeTint="80" w:fill="7f7f7f" w:themeFill="text1" w:themeFillTint="80"/>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text1" w:themeTint="80"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text1" w:themeTint="80" w:fill="7f7f7f" w:themeFill="text1" w:themeFillTint="80"/>
        <w:tcBorders>
          <w:top w:val="single" w:color="000000" w:themeColor="text1" w:themeTint="80"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text1" w:themeTint="80"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86">
    <w:name w:val="List Table 5 Dark - Accent 1"/>
    <w:basedOn w:val="800"/>
    <w:uiPriority w:val="99"/>
    <w:pPr>
      <w:pBdr/>
      <w:spacing w:after="0" w:line="240" w:lineRule="auto"/>
      <w:ind/>
    </w:pPr>
    <w:tblPr>
      <w:tblStyleRowBandSize w:val="1"/>
      <w:tblStyleColBandSize w:val="1"/>
      <w:tblInd w:w="0" w:type="dxa"/>
      <w:tblBorders>
        <w:top w:val="single" w:color="000000" w:themeColor="accent1" w:sz="32" w:space="0"/>
        <w:left w:val="single" w:color="000000" w:themeColor="accent1" w:sz="32" w:space="0"/>
        <w:bottom w:val="single" w:color="000000" w:themeColor="accent1" w:sz="32" w:space="0"/>
        <w:right w:val="single" w:color="000000" w:themeColor="accent1" w:sz="32" w:space="0"/>
      </w:tblBorders>
      <w:shd w:val="clear" w:color="ffffff" w:themeColor="accent1" w:fill="18a303" w:themeFill="accent1"/>
    </w:tblPr>
    <w:tcPr>
      <w:tcBorders/>
    </w:tcPr>
    <w:tblStylePr w:type="band1Horz">
      <w:pPr>
        <w:pBdr/>
        <w:spacing/>
        <w:ind/>
      </w:pPr>
      <w:tblPr>
        <w:tblBorders/>
      </w:tblPr>
      <w:tcPr>
        <w:shd w:val="clear" w:color="ffffff" w:themeColor="accent1" w:fill="18a303" w:themeFill="accent1"/>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1" w:fill="18a303" w:themeFill="accent1"/>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1" w:fill="18a303" w:themeFill="accent1"/>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1"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1" w:fill="18a303" w:themeFill="accent1"/>
        <w:tcBorders>
          <w:top w:val="single" w:color="000000" w:themeColor="accent1"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1"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87">
    <w:name w:val="List Table 5 Dark - Accent 2"/>
    <w:basedOn w:val="800"/>
    <w:uiPriority w:val="99"/>
    <w:pPr>
      <w:pBdr/>
      <w:spacing w:after="0" w:line="240" w:lineRule="auto"/>
      <w:ind/>
    </w:pPr>
    <w:tblPr>
      <w:tblStyleRowBandSize w:val="1"/>
      <w:tblStyleColBandSize w:val="1"/>
      <w:tblInd w:w="0" w:type="dxa"/>
      <w:tblBorders>
        <w:top w:val="single" w:color="000000" w:themeColor="accent2" w:themeTint="97" w:sz="32" w:space="0"/>
        <w:left w:val="single" w:color="000000" w:themeColor="accent2" w:themeTint="97" w:sz="32" w:space="0"/>
        <w:bottom w:val="single" w:color="000000" w:themeColor="accent2" w:themeTint="97" w:sz="32" w:space="0"/>
        <w:right w:val="single" w:color="000000" w:themeColor="accent2" w:themeTint="97" w:sz="32" w:space="0"/>
      </w:tblBorders>
      <w:shd w:val="clear" w:color="ffffff" w:themeColor="accent2" w:themeTint="97" w:fill="37b4fb" w:themeFill="accent2" w:themeFillTint="97"/>
    </w:tblPr>
    <w:tcPr>
      <w:tcBorders/>
    </w:tcPr>
    <w:tblStylePr w:type="band1Horz">
      <w:pPr>
        <w:pBdr/>
        <w:spacing/>
        <w:ind/>
      </w:pPr>
      <w:tblPr>
        <w:tblBorders/>
      </w:tblPr>
      <w:tcPr>
        <w:shd w:val="clear" w:color="ffffff" w:themeColor="accent2" w:themeTint="97" w:fill="37b4fb" w:themeFill="accent2" w:themeFillTint="97"/>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2" w:themeTint="97" w:fill="37b4fb" w:themeFill="accent2" w:themeFillTint="97"/>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2" w:themeTint="97" w:fill="37b4fb" w:themeFill="accent2" w:themeFillTint="97"/>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2" w:themeTint="97"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2" w:themeTint="97" w:fill="37b4fb" w:themeFill="accent2" w:themeFillTint="97"/>
        <w:tcBorders>
          <w:top w:val="single" w:color="000000" w:themeColor="accent2" w:themeTint="97"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2" w:themeTint="97"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88">
    <w:name w:val="List Table 5 Dark - Accent 3"/>
    <w:basedOn w:val="800"/>
    <w:uiPriority w:val="99"/>
    <w:pPr>
      <w:pBdr/>
      <w:spacing w:after="0" w:line="240" w:lineRule="auto"/>
      <w:ind/>
    </w:pPr>
    <w:tblPr>
      <w:tblStyleRowBandSize w:val="1"/>
      <w:tblStyleColBandSize w:val="1"/>
      <w:tblInd w:w="0" w:type="dxa"/>
      <w:tblBorders>
        <w:top w:val="single" w:color="000000" w:themeColor="accent3" w:themeTint="98" w:sz="32" w:space="0"/>
        <w:left w:val="single" w:color="000000" w:themeColor="accent3" w:themeTint="98" w:sz="32" w:space="0"/>
        <w:bottom w:val="single" w:color="000000" w:themeColor="accent3" w:themeTint="98" w:sz="32" w:space="0"/>
        <w:right w:val="single" w:color="000000" w:themeColor="accent3" w:themeTint="98" w:sz="32" w:space="0"/>
      </w:tblBorders>
      <w:shd w:val="clear" w:color="ffffff" w:themeColor="accent3" w:themeTint="98" w:fill="fb7f36" w:themeFill="accent3" w:themeFillTint="98"/>
    </w:tblPr>
    <w:tcPr>
      <w:tcBorders/>
    </w:tcPr>
    <w:tblStylePr w:type="band1Horz">
      <w:pPr>
        <w:pBdr/>
        <w:spacing/>
        <w:ind/>
      </w:pPr>
      <w:tblPr>
        <w:tblBorders/>
      </w:tblPr>
      <w:tcPr>
        <w:shd w:val="clear" w:color="ffffff" w:themeColor="accent3" w:themeTint="98" w:fill="fb7f36" w:themeFill="accent3"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3" w:themeTint="98" w:fill="fb7f36" w:themeFill="accent3"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3" w:themeTint="98" w:fill="fb7f36" w:themeFill="accent3"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3"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3" w:themeTint="98" w:fill="fb7f36" w:themeFill="accent3" w:themeFillTint="98"/>
        <w:tcBorders>
          <w:top w:val="single" w:color="000000" w:themeColor="accent3"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3"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89">
    <w:name w:val="List Table 5 Dark - Accent 4"/>
    <w:basedOn w:val="800"/>
    <w:uiPriority w:val="99"/>
    <w:pPr>
      <w:pBdr/>
      <w:spacing w:after="0" w:line="240" w:lineRule="auto"/>
      <w:ind/>
    </w:pPr>
    <w:tblPr>
      <w:tblStyleRowBandSize w:val="1"/>
      <w:tblStyleColBandSize w:val="1"/>
      <w:tblInd w:w="0" w:type="dxa"/>
      <w:tblBorders>
        <w:top w:val="single" w:color="000000" w:themeColor="accent4" w:themeTint="9A" w:sz="32" w:space="0"/>
        <w:left w:val="single" w:color="000000" w:themeColor="accent4" w:themeTint="9A" w:sz="32" w:space="0"/>
        <w:bottom w:val="single" w:color="000000" w:themeColor="accent4" w:themeTint="9A" w:sz="32" w:space="0"/>
        <w:right w:val="single" w:color="000000" w:themeColor="accent4" w:themeTint="9A" w:sz="32" w:space="0"/>
      </w:tblBorders>
      <w:shd w:val="clear" w:color="ffffff" w:themeColor="accent4" w:themeTint="9A" w:fill="e133fb" w:themeFill="accent4" w:themeFillTint="9A"/>
    </w:tblPr>
    <w:tcPr>
      <w:tcBorders/>
    </w:tcPr>
    <w:tblStylePr w:type="band1Horz">
      <w:pPr>
        <w:pBdr/>
        <w:spacing/>
        <w:ind/>
      </w:pPr>
      <w:tblPr>
        <w:tblBorders/>
      </w:tblPr>
      <w:tcPr>
        <w:shd w:val="clear" w:color="ffffff" w:themeColor="accent4" w:themeTint="9A" w:fill="e133fb" w:themeFill="accent4"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4" w:themeTint="9A" w:fill="e133fb" w:themeFill="accent4"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4" w:themeTint="9A" w:fill="e133fb" w:themeFill="accent4"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4"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4" w:themeTint="9A" w:fill="e133fb" w:themeFill="accent4" w:themeFillTint="9A"/>
        <w:tcBorders>
          <w:top w:val="single" w:color="000000" w:themeColor="accent4"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4"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0">
    <w:name w:val="List Table 5 Dark - Accent 5"/>
    <w:basedOn w:val="800"/>
    <w:uiPriority w:val="99"/>
    <w:pPr>
      <w:pBdr/>
      <w:spacing w:after="0" w:line="240" w:lineRule="auto"/>
      <w:ind/>
    </w:pPr>
    <w:tblPr>
      <w:tblStyleRowBandSize w:val="1"/>
      <w:tblStyleColBandSize w:val="1"/>
      <w:tblInd w:w="0" w:type="dxa"/>
      <w:tblBorders>
        <w:top w:val="single" w:color="000000" w:themeColor="accent5" w:themeTint="9A" w:sz="32" w:space="0"/>
        <w:left w:val="single" w:color="000000" w:themeColor="accent5" w:themeTint="9A" w:sz="32" w:space="0"/>
        <w:bottom w:val="single" w:color="000000" w:themeColor="accent5" w:themeTint="9A" w:sz="32" w:space="0"/>
        <w:right w:val="single" w:color="000000" w:themeColor="accent5" w:themeTint="9A" w:sz="32" w:space="0"/>
      </w:tblBorders>
      <w:shd w:val="clear" w:color="ffffff" w:themeColor="accent5" w:themeTint="9A" w:fill="ffd544" w:themeFill="accent5" w:themeFillTint="9A"/>
    </w:tblPr>
    <w:tcPr>
      <w:tcBorders/>
    </w:tcPr>
    <w:tblStylePr w:type="band1Horz">
      <w:pPr>
        <w:pBdr/>
        <w:spacing/>
        <w:ind/>
      </w:pPr>
      <w:tblPr>
        <w:tblBorders/>
      </w:tblPr>
      <w:tcPr>
        <w:shd w:val="clear" w:color="ffffff" w:themeColor="accent5" w:themeTint="9A" w:fill="ffd544" w:themeFill="accent5" w:themeFillTint="9A"/>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5" w:themeTint="9A" w:fill="ffd544" w:themeFill="accent5" w:themeFillTint="9A"/>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5" w:themeTint="9A" w:fill="ffd544" w:themeFill="accent5" w:themeFillTint="9A"/>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5" w:themeTint="9A"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5" w:themeTint="9A" w:fill="ffd544" w:themeFill="accent5" w:themeFillTint="9A"/>
        <w:tcBorders>
          <w:top w:val="single" w:color="000000" w:themeColor="accent5" w:themeTint="9A"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5" w:themeTint="9A"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1">
    <w:name w:val="List Table 5 Dark - Accent 6"/>
    <w:basedOn w:val="800"/>
    <w:uiPriority w:val="99"/>
    <w:pPr>
      <w:pBdr/>
      <w:spacing w:after="0" w:line="240" w:lineRule="auto"/>
      <w:ind/>
    </w:pPr>
    <w:tblPr>
      <w:tblStyleRowBandSize w:val="1"/>
      <w:tblStyleColBandSize w:val="1"/>
      <w:tblInd w:w="0" w:type="dxa"/>
      <w:tblBorders>
        <w:top w:val="single" w:color="000000" w:themeColor="accent6" w:themeTint="98" w:sz="32" w:space="0"/>
        <w:left w:val="single" w:color="000000" w:themeColor="accent6" w:themeTint="98" w:sz="32" w:space="0"/>
        <w:bottom w:val="single" w:color="000000" w:themeColor="accent6" w:themeTint="98" w:sz="32" w:space="0"/>
        <w:right w:val="single" w:color="000000" w:themeColor="accent6" w:themeTint="98" w:sz="32" w:space="0"/>
      </w:tblBorders>
      <w:shd w:val="clear" w:color="ffffff" w:themeColor="accent6" w:themeTint="98" w:fill="e9706e" w:themeFill="accent6" w:themeFillTint="98"/>
    </w:tblPr>
    <w:tcPr>
      <w:tcBorders/>
    </w:tcPr>
    <w:tblStylePr w:type="band1Horz">
      <w:pPr>
        <w:pBdr/>
        <w:spacing/>
        <w:ind/>
      </w:pPr>
      <w:tblPr>
        <w:tblBorders/>
      </w:tblPr>
      <w:tcPr>
        <w:shd w:val="clear" w:color="ffffff" w:themeColor="accent6" w:themeTint="98" w:fill="e9706e" w:themeFill="accent6" w:themeFillTint="98"/>
        <w:tcBorders>
          <w:top w:val="single" w:color="000000" w:themeColor="light1" w:sz="4" w:space="0"/>
          <w:bottom w:val="single" w:color="000000" w:themeColor="light1" w:sz="4" w:space="0"/>
        </w:tcBorders>
      </w:tcPr>
    </w:tblStylePr>
    <w:tblStylePr w:type="band1Vert">
      <w:pPr>
        <w:pBdr/>
        <w:spacing/>
        <w:ind/>
      </w:pPr>
      <w:tblPr>
        <w:tblBorders/>
      </w:tblPr>
      <w:tcPr>
        <w:shd w:val="clear" w:color="ffffff" w:themeColor="accent6" w:themeTint="98" w:fill="e9706e" w:themeFill="accent6" w:themeFillTint="98"/>
        <w:tcBorders>
          <w:left w:val="single" w:color="000000" w:themeColor="light1" w:sz="4" w:space="0"/>
          <w:right w:val="single" w:color="000000" w:themeColor="light1" w:sz="4" w:space="0"/>
        </w:tcBorders>
      </w:tcPr>
    </w:tblStylePr>
    <w:tblStylePr w:type="band2Horz">
      <w:pPr>
        <w:pBdr/>
        <w:spacing/>
        <w:ind/>
      </w:pPr>
      <w:tblPr>
        <w:tblBorders/>
      </w:tblPr>
      <w:tcPr>
        <w:shd w:val="clear" w:color="ffffff" w:themeColor="accent6" w:themeTint="98" w:fill="e9706e" w:themeFill="accent6" w:themeFillTint="98"/>
        <w:tcBorders>
          <w:top w:val="single" w:color="000000" w:themeColor="light1" w:sz="4" w:space="0"/>
          <w:bottom w:val="single" w:color="000000" w:themeColor="light1" w:sz="4" w:space="0"/>
        </w:tcBorders>
      </w:tcPr>
    </w:tblStylePr>
    <w:tblStylePr w:type="band2Vert">
      <w:pPr>
        <w:pBdr/>
        <w:spacing/>
        <w:ind/>
      </w:pPr>
      <w:tblPr>
        <w:tblBorders/>
      </w:tblPr>
      <w:tcPr>
        <w:tcBorders>
          <w:left w:val="single" w:color="000000" w:themeColor="light1" w:sz="4" w:space="0"/>
          <w:right w:val="single" w:color="000000" w:themeColor="light1" w:sz="4" w:space="0"/>
        </w:tcBorders>
      </w:tcPr>
    </w:tblStylePr>
    <w:tblStylePr w:type="firstCol">
      <w:rPr>
        <w:rFonts w:ascii="Arial" w:hAnsi="Arial"/>
        <w:b/>
        <w:color w:val="ffffff" w:themeColor="light1"/>
        <w:sz w:val="22"/>
      </w:rPr>
      <w:pPr>
        <w:pBdr/>
        <w:spacing/>
        <w:ind/>
      </w:pPr>
      <w:tblPr>
        <w:tblBorders/>
      </w:tblPr>
      <w:tcPr>
        <w:tcBorders>
          <w:left w:val="single" w:color="000000" w:themeColor="accent6" w:themeTint="98" w:sz="32" w:space="0"/>
          <w:right w:val="single" w:color="000000" w:themeColor="light1" w:sz="4" w:space="0"/>
        </w:tcBorders>
      </w:tcPr>
    </w:tblStylePr>
    <w:tblStylePr w:type="firstRow">
      <w:rPr>
        <w:rFonts w:ascii="Arial" w:hAnsi="Arial"/>
        <w:b/>
        <w:color w:val="ffffff" w:themeColor="light1"/>
        <w:sz w:val="22"/>
      </w:rPr>
      <w:pPr>
        <w:pBdr/>
        <w:spacing/>
        <w:ind/>
      </w:pPr>
      <w:tblPr>
        <w:tblBorders/>
      </w:tblPr>
      <w:tcPr>
        <w:shd w:val="clear" w:color="ffffff" w:themeColor="accent6" w:themeTint="98" w:fill="e9706e" w:themeFill="accent6" w:themeFillTint="98"/>
        <w:tcBorders>
          <w:top w:val="single" w:color="000000" w:themeColor="accent6" w:themeTint="98" w:sz="32" w:space="0"/>
          <w:bottom w:val="single" w:color="000000" w:themeColor="light1" w:sz="12" w:space="0"/>
        </w:tcBorders>
      </w:tcPr>
    </w:tblStylePr>
    <w:tblStylePr w:type="lastCol">
      <w:pPr>
        <w:pBdr/>
        <w:spacing/>
        <w:ind/>
      </w:pPr>
      <w:tblPr>
        <w:tblBorders/>
      </w:tblPr>
      <w:tcPr>
        <w:tcBorders>
          <w:left w:val="single" w:color="000000" w:themeColor="light1" w:sz="4" w:space="0"/>
          <w:right w:val="single" w:color="000000" w:themeColor="accent6" w:themeTint="98" w:sz="32" w:space="0"/>
        </w:tcBorders>
      </w:tcPr>
    </w:tblStylePr>
    <w:tblStylePr w:type="lastRow">
      <w:rPr>
        <w:rFonts w:ascii="Arial" w:hAnsi="Arial"/>
        <w:b/>
        <w:color w:val="ffffff" w:themeColor="light1"/>
        <w:sz w:val="22"/>
      </w:rPr>
      <w:pPr>
        <w:pBdr/>
        <w:spacing/>
        <w:ind/>
      </w:pPr>
      <w:tblPr>
        <w:tblBorders/>
      </w:tblPr>
      <w:tcPr>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ffffff" w:themeColor="light1"/>
        <w:sz w:val="22"/>
      </w:rPr>
      <w:pPr>
        <w:pBdr/>
        <w:spacing/>
        <w:ind/>
      </w:pPr>
      <w:tblPr>
        <w:tblBorders/>
      </w:tblPr>
      <w:tcPr>
        <w:tcBorders/>
      </w:tcPr>
    </w:tblStylePr>
  </w:style>
  <w:style w:type="table" w:styleId="892">
    <w:name w:val="List Table 6 Colorful"/>
    <w:basedOn w:val="800"/>
    <w:uiPriority w:val="99"/>
    <w:pPr>
      <w:pBdr/>
      <w:spacing w:after="0" w:line="240" w:lineRule="auto"/>
      <w:ind/>
    </w:pPr>
    <w:tblPr>
      <w:tblStyleRowBandSize w:val="1"/>
      <w:tblStyleColBandSize w:val="1"/>
      <w:tblInd w:w="0" w:type="dxa"/>
      <w:tblBorders>
        <w:top w:val="single" w:color="000000" w:themeColor="text1" w:themeTint="80" w:sz="4" w:space="0"/>
        <w:bottom w:val="single" w:color="000000" w:themeColor="text1" w:themeTint="80" w:sz="4" w:space="0"/>
      </w:tblBorders>
    </w:tblPr>
    <w:tcPr>
      <w:tcBorders/>
    </w:tcPr>
    <w:tblStylePr w:type="band1Horz">
      <w:rPr>
        <w:rFonts w:ascii="Arial" w:hAnsi="Arial"/>
        <w:color w:val="404040" w:themeColor="text1"/>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04040" w:themeColor="text1"/>
        <w:sz w:val="22"/>
      </w:rPr>
      <w:pPr>
        <w:pBdr/>
        <w:spacing/>
        <w:ind/>
      </w:pPr>
      <w:tblPr>
        <w:tblBorders/>
      </w:tblPr>
      <w:tcPr>
        <w:tcBorders/>
      </w:tcPr>
    </w:tblStylePr>
    <w:tblStylePr w:type="band2Vert">
      <w:pPr>
        <w:pBdr/>
        <w:spacing/>
        <w:ind/>
      </w:pPr>
      <w:tblPr>
        <w:tblBorders/>
      </w:tblPr>
      <w:tcPr>
        <w:tcBorders/>
      </w:tcPr>
    </w:tblStylePr>
    <w:tblStylePr w:type="firstCol">
      <w:rPr>
        <w:b/>
        <w:color w:val="000000" w:themeColor="text1"/>
      </w:rPr>
      <w:pPr>
        <w:pBdr/>
        <w:spacing/>
        <w:ind/>
      </w:pPr>
      <w:tblPr>
        <w:tblBorders/>
      </w:tblPr>
      <w:tcPr>
        <w:tcBorders/>
      </w:tcPr>
    </w:tblStylePr>
    <w:tblStylePr w:type="firstRow">
      <w:rPr>
        <w:b/>
        <w:color w:val="000000" w:themeColor="text1"/>
      </w:rPr>
      <w:pPr>
        <w:pBdr/>
        <w:spacing/>
        <w:ind/>
      </w:pPr>
      <w:tblPr>
        <w:tblBorders/>
      </w:tblPr>
      <w:tcPr>
        <w:tcBorders>
          <w:bottom w:val="single" w:color="000000" w:themeColor="text1" w:themeTint="80" w:sz="4" w:space="0"/>
        </w:tcBorders>
      </w:tcPr>
    </w:tblStylePr>
    <w:tblStylePr w:type="lastCol">
      <w:rPr>
        <w:b/>
        <w:color w:val="000000" w:themeColor="text1"/>
      </w:rPr>
      <w:pPr>
        <w:pBdr/>
        <w:spacing/>
        <w:ind/>
      </w:pPr>
      <w:tblPr>
        <w:tblBorders/>
      </w:tblPr>
      <w:tcPr>
        <w:tcBorders/>
      </w:tcPr>
    </w:tblStylePr>
    <w:tblStylePr w:type="lastRow">
      <w:rPr>
        <w:b/>
        <w:color w:val="000000" w:themeColor="text1"/>
      </w:rPr>
      <w:pPr>
        <w:pBdr/>
        <w:spacing/>
        <w:ind/>
      </w:pPr>
      <w:tblPr>
        <w:tblBorders/>
      </w:tblPr>
      <w:tcPr>
        <w:tcBorders>
          <w:top w:val="single" w:color="000000" w:themeColor="text1" w:themeTint="8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3">
    <w:name w:val="List Table 6 Colorful - Accent 1"/>
    <w:basedOn w:val="800"/>
    <w:uiPriority w:val="99"/>
    <w:pPr>
      <w:pBdr/>
      <w:spacing w:after="0" w:line="240" w:lineRule="auto"/>
      <w:ind/>
    </w:pPr>
    <w:tblPr>
      <w:tblStyleRowBandSize w:val="1"/>
      <w:tblStyleColBandSize w:val="1"/>
      <w:tblInd w:w="0" w:type="dxa"/>
      <w:tblBorders>
        <w:top w:val="single" w:color="000000" w:themeColor="accent1" w:sz="4" w:space="0"/>
        <w:bottom w:val="single" w:color="000000" w:themeColor="accent1" w:sz="4" w:space="0"/>
      </w:tblBorders>
    </w:tblPr>
    <w:tcPr>
      <w:tcBorders/>
    </w:tcPr>
    <w:tblStylePr w:type="band1Horz">
      <w:rPr>
        <w:rFonts w:ascii="Arial" w:hAnsi="Arial"/>
        <w:color w:val="404040" w:themeColor="accent1" w:themeShade="95"/>
        <w:sz w:val="22"/>
      </w:rPr>
      <w:pPr>
        <w:pBdr/>
        <w:spacing/>
        <w:ind/>
      </w:pPr>
      <w:tblPr>
        <w:tblBorders/>
      </w:tblPr>
      <w:tcPr>
        <w:shd w:val="clear" w:color="ffffff" w:themeColor="accent1" w:themeTint="40" w:fill="b5fdaa" w:themeFill="accent1" w:themeFillTint="40"/>
        <w:tcBorders/>
      </w:tcPr>
    </w:tblStylePr>
    <w:tblStylePr w:type="band1Vert">
      <w:pPr>
        <w:pBdr/>
        <w:spacing/>
        <w:ind/>
      </w:pPr>
      <w:tblPr>
        <w:tblBorders/>
      </w:tblPr>
      <w:tcPr>
        <w:shd w:val="clear" w:color="ffffff" w:themeColor="accent1" w:themeTint="40" w:fill="b5fdaa" w:themeFill="accent1" w:themeFillTint="40"/>
        <w:tcBorders/>
      </w:tcPr>
    </w:tblStylePr>
    <w:tblStylePr w:type="band2Horz">
      <w:rPr>
        <w:rFonts w:ascii="Arial" w:hAnsi="Arial"/>
        <w:color w:val="404040"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0e5f02" w:themeColor="accent1" w:themeShade="95"/>
      </w:rPr>
      <w:pPr>
        <w:pBdr/>
        <w:spacing/>
        <w:ind/>
      </w:pPr>
      <w:tblPr>
        <w:tblBorders/>
      </w:tblPr>
      <w:tcPr>
        <w:tcBorders/>
      </w:tcPr>
    </w:tblStylePr>
    <w:tblStylePr w:type="firstRow">
      <w:rPr>
        <w:b/>
        <w:color w:val="0e5f02" w:themeColor="accent1" w:themeShade="95"/>
      </w:rPr>
      <w:pPr>
        <w:pBdr/>
        <w:spacing/>
        <w:ind/>
      </w:pPr>
      <w:tblPr>
        <w:tblBorders/>
      </w:tblPr>
      <w:tcPr>
        <w:tcBorders>
          <w:bottom w:val="single" w:color="000000" w:themeColor="accent1" w:sz="4" w:space="0"/>
        </w:tcBorders>
      </w:tcPr>
    </w:tblStylePr>
    <w:tblStylePr w:type="lastCol">
      <w:rPr>
        <w:b/>
        <w:color w:val="0e5f02" w:themeColor="accent1" w:themeShade="95"/>
      </w:rPr>
      <w:pPr>
        <w:pBdr/>
        <w:spacing/>
        <w:ind/>
      </w:pPr>
      <w:tblPr>
        <w:tblBorders/>
      </w:tblPr>
      <w:tcPr>
        <w:tcBorders/>
      </w:tcPr>
    </w:tblStylePr>
    <w:tblStylePr w:type="lastRow">
      <w:rPr>
        <w:b/>
        <w:color w:val="0e5f02" w:themeColor="accent1" w:themeShade="95"/>
      </w:rPr>
      <w:pPr>
        <w:pBdr/>
        <w:spacing/>
        <w:ind/>
      </w:pPr>
      <w:tblPr>
        <w:tblBorders/>
      </w:tblPr>
      <w:tcPr>
        <w:tcBorders>
          <w:top w:val="single" w:color="000000" w:themeColor="accent1"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4">
    <w:name w:val="List Table 6 Colorful - Accent 2"/>
    <w:basedOn w:val="800"/>
    <w:uiPriority w:val="99"/>
    <w:pPr>
      <w:pBdr/>
      <w:spacing w:after="0" w:line="240" w:lineRule="auto"/>
      <w:ind/>
    </w:pPr>
    <w:tblPr>
      <w:tblStyleRowBandSize w:val="1"/>
      <w:tblStyleColBandSize w:val="1"/>
      <w:tblInd w:w="0" w:type="dxa"/>
      <w:tblBorders>
        <w:top w:val="single" w:color="000000" w:themeColor="accent2" w:themeTint="97" w:sz="4" w:space="0"/>
        <w:bottom w:val="single" w:color="000000" w:themeColor="accent2" w:themeTint="97" w:sz="4" w:space="0"/>
      </w:tblBorders>
    </w:tblPr>
    <w:tcPr>
      <w:tcBorders/>
    </w:tcPr>
    <w:tblStylePr w:type="band1Horz">
      <w:rPr>
        <w:rFonts w:ascii="Arial" w:hAnsi="Arial"/>
        <w:color w:val="404040" w:themeColor="accent2" w:themeTint="97" w:themeShade="95"/>
        <w:sz w:val="22"/>
      </w:rPr>
      <w:pPr>
        <w:pBdr/>
        <w:spacing/>
        <w:ind/>
      </w:pPr>
      <w:tblPr>
        <w:tblBorders/>
      </w:tblPr>
      <w:tcPr>
        <w:shd w:val="clear" w:color="ffffff" w:themeColor="accent2" w:themeTint="40" w:fill="aadffd" w:themeFill="accent2" w:themeFillTint="40"/>
        <w:tcBorders/>
      </w:tcPr>
    </w:tblStylePr>
    <w:tblStylePr w:type="band1Vert">
      <w:pPr>
        <w:pBdr/>
        <w:spacing/>
        <w:ind/>
      </w:pPr>
      <w:tblPr>
        <w:tblBorders/>
      </w:tblPr>
      <w:tcPr>
        <w:shd w:val="clear" w:color="ffffff" w:themeColor="accent2" w:themeTint="40" w:fill="aadffd" w:themeFill="accent2" w:themeFillTint="40"/>
        <w:tcBorders/>
      </w:tcPr>
    </w:tblStylePr>
    <w:tblStylePr w:type="band2Horz">
      <w:rPr>
        <w:rFonts w:ascii="Arial" w:hAnsi="Arial"/>
        <w:color w:val="40404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0371b0" w:themeColor="accent2" w:themeTint="97" w:themeShade="95"/>
      </w:rPr>
      <w:pPr>
        <w:pBdr/>
        <w:spacing/>
        <w:ind/>
      </w:pPr>
      <w:tblPr>
        <w:tblBorders/>
      </w:tblPr>
      <w:tcPr>
        <w:tcBorders/>
      </w:tcPr>
    </w:tblStylePr>
    <w:tblStylePr w:type="firstRow">
      <w:rPr>
        <w:b/>
        <w:color w:val="0371b0" w:themeColor="accent2" w:themeTint="97" w:themeShade="95"/>
      </w:rPr>
      <w:pPr>
        <w:pBdr/>
        <w:spacing/>
        <w:ind/>
      </w:pPr>
      <w:tblPr>
        <w:tblBorders/>
      </w:tblPr>
      <w:tcPr>
        <w:tcBorders>
          <w:bottom w:val="single" w:color="000000" w:themeColor="accent2" w:themeTint="97" w:sz="4" w:space="0"/>
        </w:tcBorders>
      </w:tcPr>
    </w:tblStylePr>
    <w:tblStylePr w:type="lastCol">
      <w:rPr>
        <w:b/>
        <w:color w:val="0371b0" w:themeColor="accent2" w:themeTint="97" w:themeShade="95"/>
      </w:rPr>
      <w:pPr>
        <w:pBdr/>
        <w:spacing/>
        <w:ind/>
      </w:pPr>
      <w:tblPr>
        <w:tblBorders/>
      </w:tblPr>
      <w:tcPr>
        <w:tcBorders/>
      </w:tcPr>
    </w:tblStylePr>
    <w:tblStylePr w:type="lastRow">
      <w:rPr>
        <w:b/>
        <w:color w:val="0371b0" w:themeColor="accent2" w:themeTint="97" w:themeShade="95"/>
      </w:rPr>
      <w:pPr>
        <w:pBdr/>
        <w:spacing/>
        <w:ind/>
      </w:pPr>
      <w:tblPr>
        <w:tblBorders/>
      </w:tblPr>
      <w:tcPr>
        <w:tcBorders>
          <w:top w:val="single" w:color="000000" w:themeColor="accent2" w:themeTint="97"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5">
    <w:name w:val="List Table 6 Colorful - Accent 3"/>
    <w:basedOn w:val="800"/>
    <w:uiPriority w:val="99"/>
    <w:pPr>
      <w:pBdr/>
      <w:spacing w:after="0" w:line="240" w:lineRule="auto"/>
      <w:ind/>
    </w:pPr>
    <w:tblPr>
      <w:tblStyleRowBandSize w:val="1"/>
      <w:tblStyleColBandSize w:val="1"/>
      <w:tblInd w:w="0" w:type="dxa"/>
      <w:tblBorders>
        <w:top w:val="single" w:color="000000" w:themeColor="accent3" w:themeTint="98" w:sz="4" w:space="0"/>
        <w:bottom w:val="single" w:color="000000" w:themeColor="accent3" w:themeTint="98" w:sz="4" w:space="0"/>
      </w:tblBorders>
    </w:tblPr>
    <w:tcPr>
      <w:tcBorders/>
    </w:tcPr>
    <w:tblStylePr w:type="band1Horz">
      <w:rPr>
        <w:rFonts w:ascii="Arial" w:hAnsi="Arial"/>
        <w:color w:val="404040" w:themeColor="accent3" w:themeTint="98" w:themeShade="95"/>
        <w:sz w:val="22"/>
      </w:rPr>
      <w:pPr>
        <w:pBdr/>
        <w:spacing/>
        <w:ind/>
      </w:pPr>
      <w:tblPr>
        <w:tblBorders/>
      </w:tblPr>
      <w:tcPr>
        <w:shd w:val="clear" w:color="ffffff" w:themeColor="accent3" w:themeTint="40" w:fill="fdc9aa" w:themeFill="accent3" w:themeFillTint="40"/>
        <w:tcBorders/>
      </w:tcPr>
    </w:tblStylePr>
    <w:tblStylePr w:type="band1Vert">
      <w:pPr>
        <w:pBdr/>
        <w:spacing/>
        <w:ind/>
      </w:pPr>
      <w:tblPr>
        <w:tblBorders/>
      </w:tblPr>
      <w:tcPr>
        <w:shd w:val="clear" w:color="ffffff" w:themeColor="accent3" w:themeTint="40" w:fill="fdc9aa" w:themeFill="accent3" w:themeFillTint="40"/>
        <w:tcBorders/>
      </w:tcPr>
    </w:tblStylePr>
    <w:tblStylePr w:type="band2Horz">
      <w:rPr>
        <w:rFonts w:ascii="Arial" w:hAnsi="Arial"/>
        <w:color w:val="404040"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af4303" w:themeColor="accent3" w:themeTint="98" w:themeShade="95"/>
      </w:rPr>
      <w:pPr>
        <w:pBdr/>
        <w:spacing/>
        <w:ind/>
      </w:pPr>
      <w:tblPr>
        <w:tblBorders/>
      </w:tblPr>
      <w:tcPr>
        <w:tcBorders/>
      </w:tcPr>
    </w:tblStylePr>
    <w:tblStylePr w:type="firstRow">
      <w:rPr>
        <w:b/>
        <w:color w:val="af4303" w:themeColor="accent3" w:themeTint="98" w:themeShade="95"/>
      </w:rPr>
      <w:pPr>
        <w:pBdr/>
        <w:spacing/>
        <w:ind/>
      </w:pPr>
      <w:tblPr>
        <w:tblBorders/>
      </w:tblPr>
      <w:tcPr>
        <w:tcBorders>
          <w:bottom w:val="single" w:color="000000" w:themeColor="accent3" w:themeTint="98" w:sz="4" w:space="0"/>
        </w:tcBorders>
      </w:tcPr>
    </w:tblStylePr>
    <w:tblStylePr w:type="lastCol">
      <w:rPr>
        <w:b/>
        <w:color w:val="af4303" w:themeColor="accent3" w:themeTint="98" w:themeShade="95"/>
      </w:rPr>
      <w:pPr>
        <w:pBdr/>
        <w:spacing/>
        <w:ind/>
      </w:pPr>
      <w:tblPr>
        <w:tblBorders/>
      </w:tblPr>
      <w:tcPr>
        <w:tcBorders/>
      </w:tcPr>
    </w:tblStylePr>
    <w:tblStylePr w:type="lastRow">
      <w:rPr>
        <w:b/>
        <w:color w:val="af4303" w:themeColor="accent3" w:themeTint="98" w:themeShade="95"/>
      </w:rPr>
      <w:pPr>
        <w:pBdr/>
        <w:spacing/>
        <w:ind/>
      </w:pPr>
      <w:tblPr>
        <w:tblBorders/>
      </w:tblPr>
      <w:tcPr>
        <w:tcBorders>
          <w:top w:val="single" w:color="000000" w:themeColor="accent3"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6">
    <w:name w:val="List Table 6 Colorful - Accent 4"/>
    <w:basedOn w:val="800"/>
    <w:uiPriority w:val="99"/>
    <w:pPr>
      <w:pBdr/>
      <w:spacing w:after="0" w:line="240" w:lineRule="auto"/>
      <w:ind/>
    </w:pPr>
    <w:tblPr>
      <w:tblStyleRowBandSize w:val="1"/>
      <w:tblStyleColBandSize w:val="1"/>
      <w:tblInd w:w="0" w:type="dxa"/>
      <w:tblBorders>
        <w:top w:val="single" w:color="000000" w:themeColor="accent4" w:themeTint="9A" w:sz="4" w:space="0"/>
        <w:bottom w:val="single" w:color="000000" w:themeColor="accent4" w:themeTint="9A" w:sz="4" w:space="0"/>
      </w:tblBorders>
    </w:tblPr>
    <w:tcPr>
      <w:tcBorders/>
    </w:tcPr>
    <w:tblStylePr w:type="band1Horz">
      <w:rPr>
        <w:rFonts w:ascii="Arial" w:hAnsi="Arial"/>
        <w:color w:val="404040" w:themeColor="accent4" w:themeTint="9A" w:themeShade="95"/>
        <w:sz w:val="22"/>
      </w:rPr>
      <w:pPr>
        <w:pBdr/>
        <w:spacing/>
        <w:ind/>
      </w:pPr>
      <w:tblPr>
        <w:tblBorders/>
      </w:tblPr>
      <w:tcPr>
        <w:shd w:val="clear" w:color="ffffff" w:themeColor="accent4" w:themeTint="40" w:fill="f3aafd" w:themeFill="accent4" w:themeFillTint="40"/>
        <w:tcBorders/>
      </w:tcPr>
    </w:tblStylePr>
    <w:tblStylePr w:type="band1Vert">
      <w:pPr>
        <w:pBdr/>
        <w:spacing/>
        <w:ind/>
      </w:pPr>
      <w:tblPr>
        <w:tblBorders/>
      </w:tblPr>
      <w:tcPr>
        <w:shd w:val="clear" w:color="ffffff" w:themeColor="accent4" w:themeTint="40" w:fill="f3aafd" w:themeFill="accent4" w:themeFillTint="40"/>
        <w:tcBorders/>
      </w:tcPr>
    </w:tblStylePr>
    <w:tblStylePr w:type="band2Horz">
      <w:rPr>
        <w:rFonts w:ascii="Arial" w:hAnsi="Arial"/>
        <w:color w:val="404040"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9703ad" w:themeColor="accent4" w:themeTint="9A" w:themeShade="95"/>
      </w:rPr>
      <w:pPr>
        <w:pBdr/>
        <w:spacing/>
        <w:ind/>
      </w:pPr>
      <w:tblPr>
        <w:tblBorders/>
      </w:tblPr>
      <w:tcPr>
        <w:tcBorders/>
      </w:tcPr>
    </w:tblStylePr>
    <w:tblStylePr w:type="firstRow">
      <w:rPr>
        <w:b/>
        <w:color w:val="9703ad" w:themeColor="accent4" w:themeTint="9A" w:themeShade="95"/>
      </w:rPr>
      <w:pPr>
        <w:pBdr/>
        <w:spacing/>
        <w:ind/>
      </w:pPr>
      <w:tblPr>
        <w:tblBorders/>
      </w:tblPr>
      <w:tcPr>
        <w:tcBorders>
          <w:bottom w:val="single" w:color="000000" w:themeColor="accent4" w:themeTint="9A" w:sz="4" w:space="0"/>
        </w:tcBorders>
      </w:tcPr>
    </w:tblStylePr>
    <w:tblStylePr w:type="lastCol">
      <w:rPr>
        <w:b/>
        <w:color w:val="9703ad" w:themeColor="accent4" w:themeTint="9A" w:themeShade="95"/>
      </w:rPr>
      <w:pPr>
        <w:pBdr/>
        <w:spacing/>
        <w:ind/>
      </w:pPr>
      <w:tblPr>
        <w:tblBorders/>
      </w:tblPr>
      <w:tcPr>
        <w:tcBorders/>
      </w:tcPr>
    </w:tblStylePr>
    <w:tblStylePr w:type="lastRow">
      <w:rPr>
        <w:b/>
        <w:color w:val="9703ad" w:themeColor="accent4" w:themeTint="9A" w:themeShade="95"/>
      </w:rPr>
      <w:pPr>
        <w:pBdr/>
        <w:spacing/>
        <w:ind/>
      </w:pPr>
      <w:tblPr>
        <w:tblBorders/>
      </w:tblPr>
      <w:tcPr>
        <w:tcBorders>
          <w:top w:val="single" w:color="000000" w:themeColor="accent4"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7">
    <w:name w:val="List Table 6 Colorful - Accent 5"/>
    <w:basedOn w:val="800"/>
    <w:uiPriority w:val="99"/>
    <w:pPr>
      <w:pBdr/>
      <w:spacing w:after="0" w:line="240" w:lineRule="auto"/>
      <w:ind/>
    </w:pPr>
    <w:tblPr>
      <w:tblStyleRowBandSize w:val="1"/>
      <w:tblStyleColBandSize w:val="1"/>
      <w:tblInd w:w="0" w:type="dxa"/>
      <w:tblBorders>
        <w:top w:val="single" w:color="000000" w:themeColor="accent5" w:themeTint="9A" w:sz="4" w:space="0"/>
        <w:bottom w:val="single" w:color="000000" w:themeColor="accent5" w:themeTint="9A" w:sz="4" w:space="0"/>
      </w:tblBorders>
    </w:tblPr>
    <w:tcPr>
      <w:tcBorders/>
    </w:tcPr>
    <w:tblStylePr w:type="band1Horz">
      <w:rPr>
        <w:rFonts w:ascii="Arial" w:hAnsi="Arial"/>
        <w:color w:val="404040" w:themeColor="accent5" w:themeTint="9A" w:themeShade="95"/>
        <w:sz w:val="22"/>
      </w:rPr>
      <w:pPr>
        <w:pBdr/>
        <w:spacing/>
        <w:ind/>
      </w:pPr>
      <w:tblPr>
        <w:tblBorders/>
      </w:tblPr>
      <w:tcPr>
        <w:shd w:val="clear" w:color="ffffff" w:themeColor="accent5" w:themeTint="40" w:fill="ffeeb1" w:themeFill="accent5" w:themeFillTint="40"/>
        <w:tcBorders/>
      </w:tcPr>
    </w:tblStylePr>
    <w:tblStylePr w:type="band1Vert">
      <w:pPr>
        <w:pBdr/>
        <w:spacing/>
        <w:ind/>
      </w:pPr>
      <w:tblPr>
        <w:tblBorders/>
      </w:tblPr>
      <w:tcPr>
        <w:shd w:val="clear" w:color="ffffff" w:themeColor="accent5" w:themeTint="40" w:fill="ffeeb1" w:themeFill="accent5" w:themeFillTint="40"/>
        <w:tcBorders/>
      </w:tcPr>
    </w:tblStylePr>
    <w:tblStylePr w:type="band2Horz">
      <w:rPr>
        <w:rFonts w:ascii="Arial" w:hAnsi="Arial"/>
        <w:color w:val="40404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bd9300" w:themeColor="accent5" w:themeTint="9A" w:themeShade="95"/>
      </w:rPr>
      <w:pPr>
        <w:pBdr/>
        <w:spacing/>
        <w:ind/>
      </w:pPr>
      <w:tblPr>
        <w:tblBorders/>
      </w:tblPr>
      <w:tcPr>
        <w:tcBorders/>
      </w:tcPr>
    </w:tblStylePr>
    <w:tblStylePr w:type="firstRow">
      <w:rPr>
        <w:b/>
        <w:color w:val="bd9300" w:themeColor="accent5" w:themeTint="9A" w:themeShade="95"/>
      </w:rPr>
      <w:pPr>
        <w:pBdr/>
        <w:spacing/>
        <w:ind/>
      </w:pPr>
      <w:tblPr>
        <w:tblBorders/>
      </w:tblPr>
      <w:tcPr>
        <w:tcBorders>
          <w:bottom w:val="single" w:color="000000" w:themeColor="accent5" w:themeTint="9A" w:sz="4" w:space="0"/>
        </w:tcBorders>
      </w:tcPr>
    </w:tblStylePr>
    <w:tblStylePr w:type="lastCol">
      <w:rPr>
        <w:b/>
        <w:color w:val="bd9300" w:themeColor="accent5" w:themeTint="9A" w:themeShade="95"/>
      </w:rPr>
      <w:pPr>
        <w:pBdr/>
        <w:spacing/>
        <w:ind/>
      </w:pPr>
      <w:tblPr>
        <w:tblBorders/>
      </w:tblPr>
      <w:tcPr>
        <w:tcBorders/>
      </w:tcPr>
    </w:tblStylePr>
    <w:tblStylePr w:type="lastRow">
      <w:rPr>
        <w:b/>
        <w:color w:val="bd9300" w:themeColor="accent5" w:themeTint="9A" w:themeShade="95"/>
      </w:rPr>
      <w:pPr>
        <w:pBdr/>
        <w:spacing/>
        <w:ind/>
      </w:pPr>
      <w:tblPr>
        <w:tblBorders/>
      </w:tblPr>
      <w:tcPr>
        <w:tcBorders>
          <w:top w:val="single" w:color="000000" w:themeColor="accent5" w:themeTint="9A"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8">
    <w:name w:val="List Table 6 Colorful - Accent 6"/>
    <w:basedOn w:val="800"/>
    <w:uiPriority w:val="99"/>
    <w:pPr>
      <w:pBdr/>
      <w:spacing w:after="0" w:line="240" w:lineRule="auto"/>
      <w:ind/>
    </w:pPr>
    <w:tblPr>
      <w:tblStyleRowBandSize w:val="1"/>
      <w:tblStyleColBandSize w:val="1"/>
      <w:tblInd w:w="0" w:type="dxa"/>
      <w:tblBorders>
        <w:top w:val="single" w:color="000000" w:themeColor="accent6" w:themeTint="98" w:sz="4" w:space="0"/>
        <w:bottom w:val="single" w:color="000000" w:themeColor="accent6" w:themeTint="98" w:sz="4" w:space="0"/>
      </w:tblBorders>
    </w:tblPr>
    <w:tcPr>
      <w:tcBorders/>
    </w:tcPr>
    <w:tblStylePr w:type="band1Horz">
      <w:rPr>
        <w:rFonts w:ascii="Arial" w:hAnsi="Arial"/>
        <w:color w:val="404040" w:themeColor="accent6" w:themeTint="98" w:themeShade="95"/>
        <w:sz w:val="22"/>
      </w:rPr>
      <w:pPr>
        <w:pBdr/>
        <w:spacing/>
        <w:ind/>
      </w:pPr>
      <w:tblPr>
        <w:tblBorders/>
      </w:tblPr>
      <w:tcPr>
        <w:shd w:val="clear" w:color="ffffff" w:themeColor="accent6" w:themeTint="40" w:fill="f6c3c2" w:themeFill="accent6" w:themeFillTint="40"/>
        <w:tcBorders/>
      </w:tcPr>
    </w:tblStylePr>
    <w:tblStylePr w:type="band1Vert">
      <w:pPr>
        <w:pBdr/>
        <w:spacing/>
        <w:ind/>
      </w:pPr>
      <w:tblPr>
        <w:tblBorders/>
      </w:tblPr>
      <w:tcPr>
        <w:shd w:val="clear" w:color="ffffff" w:themeColor="accent6" w:themeTint="40" w:fill="f6c3c2" w:themeFill="accent6" w:themeFillTint="40"/>
        <w:tcBorders/>
      </w:tcPr>
    </w:tblStylePr>
    <w:tblStylePr w:type="band2Horz">
      <w:rPr>
        <w:rFonts w:ascii="Arial" w:hAnsi="Arial"/>
        <w:color w:val="404040"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b/>
        <w:color w:val="af1d1a" w:themeColor="accent6" w:themeTint="98" w:themeShade="95"/>
      </w:rPr>
      <w:pPr>
        <w:pBdr/>
        <w:spacing/>
        <w:ind/>
      </w:pPr>
      <w:tblPr>
        <w:tblBorders/>
      </w:tblPr>
      <w:tcPr>
        <w:tcBorders/>
      </w:tcPr>
    </w:tblStylePr>
    <w:tblStylePr w:type="firstRow">
      <w:rPr>
        <w:b/>
        <w:color w:val="af1d1a" w:themeColor="accent6" w:themeTint="98" w:themeShade="95"/>
      </w:rPr>
      <w:pPr>
        <w:pBdr/>
        <w:spacing/>
        <w:ind/>
      </w:pPr>
      <w:tblPr>
        <w:tblBorders/>
      </w:tblPr>
      <w:tcPr>
        <w:tcBorders>
          <w:bottom w:val="single" w:color="000000" w:themeColor="accent6" w:themeTint="98" w:sz="4" w:space="0"/>
        </w:tcBorders>
      </w:tcPr>
    </w:tblStylePr>
    <w:tblStylePr w:type="lastCol">
      <w:rPr>
        <w:b/>
        <w:color w:val="af1d1a" w:themeColor="accent6" w:themeTint="98" w:themeShade="95"/>
      </w:rPr>
      <w:pPr>
        <w:pBdr/>
        <w:spacing/>
        <w:ind/>
      </w:pPr>
      <w:tblPr>
        <w:tblBorders/>
      </w:tblPr>
      <w:tcPr>
        <w:tcBorders/>
      </w:tcPr>
    </w:tblStylePr>
    <w:tblStylePr w:type="lastRow">
      <w:rPr>
        <w:b/>
        <w:color w:val="af1d1a" w:themeColor="accent6" w:themeTint="98" w:themeShade="95"/>
      </w:rPr>
      <w:pPr>
        <w:pBdr/>
        <w:spacing/>
        <w:ind/>
      </w:pPr>
      <w:tblPr>
        <w:tblBorders/>
      </w:tblPr>
      <w:tcPr>
        <w:tcBorders>
          <w:top w:val="single" w:color="000000" w:themeColor="accent6" w:themeTint="98"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899">
    <w:name w:val="List Table 7 Colorful"/>
    <w:basedOn w:val="800"/>
    <w:uiPriority w:val="99"/>
    <w:pPr>
      <w:pBdr/>
      <w:spacing w:after="0" w:line="240" w:lineRule="auto"/>
      <w:ind/>
    </w:pPr>
    <w:tblPr>
      <w:tblStyleRowBandSize w:val="1"/>
      <w:tblStyleColBandSize w:val="1"/>
      <w:tblInd w:w="0" w:type="dxa"/>
      <w:tblBorders>
        <w:right w:val="single" w:color="000000" w:themeColor="text1" w:themeTint="80" w:sz="4" w:space="0"/>
      </w:tblBorders>
    </w:tblPr>
    <w:tcPr>
      <w:tcBorders/>
    </w:tcPr>
    <w:tblStylePr w:type="band1Horz">
      <w:rPr>
        <w:rFonts w:ascii="Arial" w:hAnsi="Arial"/>
        <w:color w:val="4a4a4a" w:themeColor="text1" w:themeTint="80" w:themeShade="95"/>
        <w:sz w:val="22"/>
      </w:rPr>
      <w:pPr>
        <w:pBdr/>
        <w:spacing/>
        <w:ind/>
      </w:pPr>
      <w:tblPr>
        <w:tblBorders/>
      </w:tblPr>
      <w:tcPr>
        <w:shd w:val="clear" w:color="ffffff" w:themeColor="text1" w:themeTint="40" w:fill="bfbfbf" w:themeFill="text1" w:themeFillTint="40"/>
        <w:tcBorders/>
      </w:tcPr>
    </w:tblStylePr>
    <w:tblStylePr w:type="band1Vert">
      <w:pPr>
        <w:pBdr/>
        <w:spacing/>
        <w:ind/>
      </w:pPr>
      <w:tblPr>
        <w:tblBorders/>
      </w:tblPr>
      <w:tcPr>
        <w:shd w:val="clear" w:color="ffffff" w:themeColor="text1" w:themeTint="40" w:fill="bfbfbf" w:themeFill="text1" w:themeFillTint="40"/>
        <w:tcBorders/>
      </w:tcPr>
    </w:tblStylePr>
    <w:tblStylePr w:type="band2Horz">
      <w:rPr>
        <w:rFonts w:ascii="Arial" w:hAnsi="Arial"/>
        <w:color w:val="4a4a4a" w:themeColor="text1" w:themeTint="80"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4a4a4a" w:themeColor="text1" w:themeTint="80"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text1" w:themeTint="80" w:sz="4" w:space="0"/>
        </w:tcBorders>
      </w:tcPr>
    </w:tblStylePr>
    <w:tblStylePr w:type="fir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text1" w:themeTint="80" w:sz="4" w:space="0"/>
          <w:right w:val="none" w:color="000000" w:sz="4" w:space="0"/>
        </w:tcBorders>
      </w:tcPr>
    </w:tblStylePr>
    <w:tblStylePr w:type="lastCol">
      <w:rPr>
        <w:rFonts w:ascii="Arial" w:hAnsi="Arial"/>
        <w:i/>
        <w:color w:val="4a4a4a" w:themeColor="text1" w:themeTint="80" w:themeShade="95"/>
        <w:sz w:val="22"/>
      </w:rPr>
      <w:pPr>
        <w:pBdr/>
        <w:spacing/>
        <w:ind/>
      </w:pPr>
      <w:tblPr>
        <w:tblBorders/>
      </w:tblPr>
      <w:tcPr>
        <w:shd w:val="clear" w:color="ffffff"/>
        <w:tcBorders>
          <w:top w:val="none" w:color="000000" w:sz="4" w:space="0"/>
          <w:left w:val="single" w:color="000000" w:themeColor="text1" w:themeTint="80" w:sz="4" w:space="0"/>
          <w:bottom w:val="none" w:color="000000" w:sz="4" w:space="0"/>
          <w:right w:val="none" w:color="000000" w:sz="4" w:space="0"/>
        </w:tcBorders>
      </w:tcPr>
    </w:tblStylePr>
    <w:tblStylePr w:type="lastRow">
      <w:rPr>
        <w:rFonts w:ascii="Arial" w:hAnsi="Arial"/>
        <w:i/>
        <w:color w:val="4a4a4a" w:themeColor="text1" w:themeTint="80" w:themeShade="95"/>
        <w:sz w:val="22"/>
      </w:rPr>
      <w:pPr>
        <w:pBdr/>
        <w:spacing/>
        <w:ind/>
      </w:pPr>
      <w:tblPr>
        <w:tblBorders/>
      </w:tblPr>
      <w:tcPr>
        <w:shd w:val="clear" w:color="ffffff" w:themeColor="light1" w:fill="ffffff" w:themeFill="light1"/>
        <w:tcBorders>
          <w:top w:val="single" w:color="000000" w:themeColor="text1" w:themeTint="80"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4a4a4a" w:themeColor="text1" w:themeTint="80" w:themeShade="95"/>
        <w:sz w:val="22"/>
      </w:rPr>
      <w:pPr>
        <w:pBdr/>
        <w:spacing/>
        <w:ind/>
      </w:pPr>
      <w:tblPr>
        <w:tblBorders/>
      </w:tblPr>
      <w:tcPr>
        <w:tcBorders/>
      </w:tcPr>
    </w:tblStylePr>
  </w:style>
  <w:style w:type="table" w:styleId="900">
    <w:name w:val="List Table 7 Colorful - Accent 1"/>
    <w:basedOn w:val="800"/>
    <w:uiPriority w:val="99"/>
    <w:pPr>
      <w:pBdr/>
      <w:spacing w:after="0" w:line="240" w:lineRule="auto"/>
      <w:ind/>
    </w:pPr>
    <w:tblPr>
      <w:tblStyleRowBandSize w:val="1"/>
      <w:tblStyleColBandSize w:val="1"/>
      <w:tblInd w:w="0" w:type="dxa"/>
      <w:tblBorders>
        <w:right w:val="single" w:color="000000" w:themeColor="accent1" w:sz="4" w:space="0"/>
      </w:tblBorders>
    </w:tblPr>
    <w:tcPr>
      <w:tcBorders/>
    </w:tcPr>
    <w:tblStylePr w:type="band1Horz">
      <w:rPr>
        <w:rFonts w:ascii="Arial" w:hAnsi="Arial"/>
        <w:color w:val="0e5f02" w:themeColor="accent1" w:themeShade="95"/>
        <w:sz w:val="22"/>
      </w:rPr>
      <w:pPr>
        <w:pBdr/>
        <w:spacing/>
        <w:ind/>
      </w:pPr>
      <w:tblPr>
        <w:tblBorders/>
      </w:tblPr>
      <w:tcPr>
        <w:shd w:val="clear" w:color="ffffff" w:themeColor="accent1" w:themeTint="40" w:fill="b5fdaa" w:themeFill="accent1" w:themeFillTint="40"/>
        <w:tcBorders/>
      </w:tcPr>
    </w:tblStylePr>
    <w:tblStylePr w:type="band1Vert">
      <w:pPr>
        <w:pBdr/>
        <w:spacing/>
        <w:ind/>
      </w:pPr>
      <w:tblPr>
        <w:tblBorders/>
      </w:tblPr>
      <w:tcPr>
        <w:shd w:val="clear" w:color="ffffff" w:themeColor="accent1" w:themeTint="40" w:fill="b5fdaa" w:themeFill="accent1" w:themeFillTint="40"/>
        <w:tcBorders/>
      </w:tcPr>
    </w:tblStylePr>
    <w:tblStylePr w:type="band2Horz">
      <w:rPr>
        <w:rFonts w:ascii="Arial" w:hAnsi="Arial"/>
        <w:color w:val="0e5f02" w:themeColor="accent1"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0e5f02" w:themeColor="accent1"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1" w:sz="4" w:space="0"/>
        </w:tcBorders>
      </w:tcPr>
    </w:tblStylePr>
    <w:tblStylePr w:type="firstRow">
      <w:rPr>
        <w:rFonts w:ascii="Arial" w:hAnsi="Arial"/>
        <w:i/>
        <w:color w:val="0e5f02" w:themeColor="accent1"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1" w:sz="4" w:space="0"/>
          <w:right w:val="none" w:color="000000" w:sz="4" w:space="0"/>
        </w:tcBorders>
      </w:tcPr>
    </w:tblStylePr>
    <w:tblStylePr w:type="lastCol">
      <w:rPr>
        <w:rFonts w:ascii="Arial" w:hAnsi="Arial"/>
        <w:i/>
        <w:color w:val="0e5f02" w:themeColor="accent1" w:themeShade="95"/>
        <w:sz w:val="22"/>
      </w:rPr>
      <w:pPr>
        <w:pBdr/>
        <w:spacing/>
        <w:ind/>
      </w:pPr>
      <w:tblPr>
        <w:tblBorders/>
      </w:tblPr>
      <w:tcPr>
        <w:shd w:val="clear" w:color="ffffff"/>
        <w:tcBorders>
          <w:top w:val="none" w:color="000000" w:sz="4" w:space="0"/>
          <w:left w:val="single" w:color="000000" w:themeColor="accent1" w:sz="4" w:space="0"/>
          <w:bottom w:val="none" w:color="000000" w:sz="4" w:space="0"/>
          <w:right w:val="none" w:color="000000" w:sz="4" w:space="0"/>
        </w:tcBorders>
      </w:tcPr>
    </w:tblStylePr>
    <w:tblStylePr w:type="lastRow">
      <w:rPr>
        <w:rFonts w:ascii="Arial" w:hAnsi="Arial"/>
        <w:i/>
        <w:color w:val="0e5f02" w:themeColor="accent1" w:themeShade="95"/>
        <w:sz w:val="22"/>
      </w:rPr>
      <w:pPr>
        <w:pBdr/>
        <w:spacing/>
        <w:ind/>
      </w:pPr>
      <w:tblPr>
        <w:tblBorders/>
      </w:tblPr>
      <w:tcPr>
        <w:shd w:val="clear" w:color="ffffff" w:themeColor="light1" w:fill="ffffff" w:themeFill="light1"/>
        <w:tcBorders>
          <w:top w:val="single" w:color="000000" w:themeColor="accent1"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0e5f02" w:themeColor="accent1" w:themeShade="95"/>
        <w:sz w:val="22"/>
      </w:rPr>
      <w:pPr>
        <w:pBdr/>
        <w:spacing/>
        <w:ind/>
      </w:pPr>
      <w:tblPr>
        <w:tblBorders/>
      </w:tblPr>
      <w:tcPr>
        <w:tcBorders/>
      </w:tcPr>
    </w:tblStylePr>
  </w:style>
  <w:style w:type="table" w:styleId="901">
    <w:name w:val="List Table 7 Colorful - Accent 2"/>
    <w:basedOn w:val="800"/>
    <w:uiPriority w:val="99"/>
    <w:pPr>
      <w:pBdr/>
      <w:spacing w:after="0" w:line="240" w:lineRule="auto"/>
      <w:ind/>
    </w:pPr>
    <w:tblPr>
      <w:tblStyleRowBandSize w:val="1"/>
      <w:tblStyleColBandSize w:val="1"/>
      <w:tblInd w:w="0" w:type="dxa"/>
      <w:tblBorders>
        <w:right w:val="single" w:color="000000" w:themeColor="accent2" w:themeTint="97" w:sz="4" w:space="0"/>
      </w:tblBorders>
    </w:tblPr>
    <w:tcPr>
      <w:tcBorders/>
    </w:tcPr>
    <w:tblStylePr w:type="band1Horz">
      <w:rPr>
        <w:rFonts w:ascii="Arial" w:hAnsi="Arial"/>
        <w:color w:val="0371b0" w:themeColor="accent2" w:themeTint="97" w:themeShade="95"/>
        <w:sz w:val="22"/>
      </w:rPr>
      <w:pPr>
        <w:pBdr/>
        <w:spacing/>
        <w:ind/>
      </w:pPr>
      <w:tblPr>
        <w:tblBorders/>
      </w:tblPr>
      <w:tcPr>
        <w:shd w:val="clear" w:color="ffffff" w:themeColor="accent2" w:themeTint="40" w:fill="aadffd" w:themeFill="accent2" w:themeFillTint="40"/>
        <w:tcBorders/>
      </w:tcPr>
    </w:tblStylePr>
    <w:tblStylePr w:type="band1Vert">
      <w:pPr>
        <w:pBdr/>
        <w:spacing/>
        <w:ind/>
      </w:pPr>
      <w:tblPr>
        <w:tblBorders/>
      </w:tblPr>
      <w:tcPr>
        <w:shd w:val="clear" w:color="ffffff" w:themeColor="accent2" w:themeTint="40" w:fill="aadffd" w:themeFill="accent2" w:themeFillTint="40"/>
        <w:tcBorders/>
      </w:tcPr>
    </w:tblStylePr>
    <w:tblStylePr w:type="band2Horz">
      <w:rPr>
        <w:rFonts w:ascii="Arial" w:hAnsi="Arial"/>
        <w:color w:val="0371b0" w:themeColor="accent2" w:themeTint="97"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0371b0" w:themeColor="accent2" w:themeTint="97"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2" w:themeTint="97" w:sz="4" w:space="0"/>
        </w:tcBorders>
      </w:tcPr>
    </w:tblStylePr>
    <w:tblStylePr w:type="firstRow">
      <w:rPr>
        <w:rFonts w:ascii="Arial" w:hAnsi="Arial"/>
        <w:i/>
        <w:color w:val="0371b0" w:themeColor="accent2" w:themeTint="97"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2" w:themeTint="97" w:sz="4" w:space="0"/>
          <w:right w:val="none" w:color="000000" w:sz="4" w:space="0"/>
        </w:tcBorders>
      </w:tcPr>
    </w:tblStylePr>
    <w:tblStylePr w:type="lastCol">
      <w:rPr>
        <w:rFonts w:ascii="Arial" w:hAnsi="Arial"/>
        <w:i/>
        <w:color w:val="0371b0" w:themeColor="accent2" w:themeTint="97" w:themeShade="95"/>
        <w:sz w:val="22"/>
      </w:rPr>
      <w:pPr>
        <w:pBdr/>
        <w:spacing/>
        <w:ind/>
      </w:pPr>
      <w:tblPr>
        <w:tblBorders/>
      </w:tblPr>
      <w:tcPr>
        <w:shd w:val="clear" w:color="ffffff"/>
        <w:tcBorders>
          <w:top w:val="none" w:color="000000" w:sz="4" w:space="0"/>
          <w:left w:val="single" w:color="000000" w:themeColor="accent2" w:themeTint="97" w:sz="4" w:space="0"/>
          <w:bottom w:val="none" w:color="000000" w:sz="4" w:space="0"/>
          <w:right w:val="none" w:color="000000" w:sz="4" w:space="0"/>
        </w:tcBorders>
      </w:tcPr>
    </w:tblStylePr>
    <w:tblStylePr w:type="lastRow">
      <w:rPr>
        <w:rFonts w:ascii="Arial" w:hAnsi="Arial"/>
        <w:i/>
        <w:color w:val="0371b0" w:themeColor="accent2" w:themeTint="97" w:themeShade="95"/>
        <w:sz w:val="22"/>
      </w:rPr>
      <w:pPr>
        <w:pBdr/>
        <w:spacing/>
        <w:ind/>
      </w:pPr>
      <w:tblPr>
        <w:tblBorders/>
      </w:tblPr>
      <w:tcPr>
        <w:shd w:val="clear" w:color="ffffff" w:themeColor="light1" w:fill="ffffff" w:themeFill="light1"/>
        <w:tcBorders>
          <w:top w:val="single" w:color="000000" w:themeColor="accent2" w:themeTint="97"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0371b0" w:themeColor="accent2" w:themeTint="97" w:themeShade="95"/>
        <w:sz w:val="22"/>
      </w:rPr>
      <w:pPr>
        <w:pBdr/>
        <w:spacing/>
        <w:ind/>
      </w:pPr>
      <w:tblPr>
        <w:tblBorders/>
      </w:tblPr>
      <w:tcPr>
        <w:tcBorders/>
      </w:tcPr>
    </w:tblStylePr>
  </w:style>
  <w:style w:type="table" w:styleId="902">
    <w:name w:val="List Table 7 Colorful - Accent 3"/>
    <w:basedOn w:val="800"/>
    <w:uiPriority w:val="99"/>
    <w:pPr>
      <w:pBdr/>
      <w:spacing w:after="0" w:line="240" w:lineRule="auto"/>
      <w:ind/>
    </w:pPr>
    <w:tblPr>
      <w:tblStyleRowBandSize w:val="1"/>
      <w:tblStyleColBandSize w:val="1"/>
      <w:tblInd w:w="0" w:type="dxa"/>
      <w:tblBorders>
        <w:right w:val="single" w:color="000000" w:themeColor="accent3" w:themeTint="98" w:sz="4" w:space="0"/>
      </w:tblBorders>
    </w:tblPr>
    <w:tcPr>
      <w:tcBorders/>
    </w:tcPr>
    <w:tblStylePr w:type="band1Horz">
      <w:rPr>
        <w:rFonts w:ascii="Arial" w:hAnsi="Arial"/>
        <w:color w:val="af4303" w:themeColor="accent3" w:themeTint="98" w:themeShade="95"/>
        <w:sz w:val="22"/>
      </w:rPr>
      <w:pPr>
        <w:pBdr/>
        <w:spacing/>
        <w:ind/>
      </w:pPr>
      <w:tblPr>
        <w:tblBorders/>
      </w:tblPr>
      <w:tcPr>
        <w:shd w:val="clear" w:color="ffffff" w:themeColor="accent3" w:themeTint="40" w:fill="fdc9aa" w:themeFill="accent3" w:themeFillTint="40"/>
        <w:tcBorders/>
      </w:tcPr>
    </w:tblStylePr>
    <w:tblStylePr w:type="band1Vert">
      <w:pPr>
        <w:pBdr/>
        <w:spacing/>
        <w:ind/>
      </w:pPr>
      <w:tblPr>
        <w:tblBorders/>
      </w:tblPr>
      <w:tcPr>
        <w:shd w:val="clear" w:color="ffffff" w:themeColor="accent3" w:themeTint="40" w:fill="fdc9aa" w:themeFill="accent3" w:themeFillTint="40"/>
        <w:tcBorders/>
      </w:tcPr>
    </w:tblStylePr>
    <w:tblStylePr w:type="band2Horz">
      <w:rPr>
        <w:rFonts w:ascii="Arial" w:hAnsi="Arial"/>
        <w:color w:val="af4303" w:themeColor="accent3"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f4303" w:themeColor="accent3"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3" w:themeTint="98" w:sz="4" w:space="0"/>
        </w:tcBorders>
      </w:tcPr>
    </w:tblStylePr>
    <w:tblStylePr w:type="firstRow">
      <w:rPr>
        <w:rFonts w:ascii="Arial" w:hAnsi="Arial"/>
        <w:i/>
        <w:color w:val="af4303" w:themeColor="accent3"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3" w:themeTint="98" w:sz="4" w:space="0"/>
          <w:right w:val="none" w:color="000000" w:sz="4" w:space="0"/>
        </w:tcBorders>
      </w:tcPr>
    </w:tblStylePr>
    <w:tblStylePr w:type="lastCol">
      <w:rPr>
        <w:rFonts w:ascii="Arial" w:hAnsi="Arial"/>
        <w:i/>
        <w:color w:val="af4303" w:themeColor="accent3" w:themeTint="98" w:themeShade="95"/>
        <w:sz w:val="22"/>
      </w:rPr>
      <w:pPr>
        <w:pBdr/>
        <w:spacing/>
        <w:ind/>
      </w:pPr>
      <w:tblPr>
        <w:tblBorders/>
      </w:tblPr>
      <w:tcPr>
        <w:shd w:val="clear" w:color="ffffff"/>
        <w:tcBorders>
          <w:top w:val="none" w:color="000000" w:sz="4" w:space="0"/>
          <w:left w:val="single" w:color="000000" w:themeColor="accent3" w:themeTint="98" w:sz="4" w:space="0"/>
          <w:bottom w:val="none" w:color="000000" w:sz="4" w:space="0"/>
          <w:right w:val="none" w:color="000000" w:sz="4" w:space="0"/>
        </w:tcBorders>
      </w:tcPr>
    </w:tblStylePr>
    <w:tblStylePr w:type="lastRow">
      <w:rPr>
        <w:rFonts w:ascii="Arial" w:hAnsi="Arial"/>
        <w:i/>
        <w:color w:val="af4303" w:themeColor="accent3" w:themeTint="98" w:themeShade="95"/>
        <w:sz w:val="22"/>
      </w:rPr>
      <w:pPr>
        <w:pBdr/>
        <w:spacing/>
        <w:ind/>
      </w:pPr>
      <w:tblPr>
        <w:tblBorders/>
      </w:tblPr>
      <w:tcPr>
        <w:shd w:val="clear" w:color="ffffff" w:themeColor="light1" w:fill="ffffff" w:themeFill="light1"/>
        <w:tcBorders>
          <w:top w:val="single" w:color="000000" w:themeColor="accent3"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af4303" w:themeColor="accent3" w:themeTint="98" w:themeShade="95"/>
        <w:sz w:val="22"/>
      </w:rPr>
      <w:pPr>
        <w:pBdr/>
        <w:spacing/>
        <w:ind/>
      </w:pPr>
      <w:tblPr>
        <w:tblBorders/>
      </w:tblPr>
      <w:tcPr>
        <w:tcBorders/>
      </w:tcPr>
    </w:tblStylePr>
  </w:style>
  <w:style w:type="table" w:styleId="903">
    <w:name w:val="List Table 7 Colorful - Accent 4"/>
    <w:basedOn w:val="800"/>
    <w:uiPriority w:val="99"/>
    <w:pPr>
      <w:pBdr/>
      <w:spacing w:after="0" w:line="240" w:lineRule="auto"/>
      <w:ind/>
    </w:pPr>
    <w:tblPr>
      <w:tblStyleRowBandSize w:val="1"/>
      <w:tblStyleColBandSize w:val="1"/>
      <w:tblInd w:w="0" w:type="dxa"/>
      <w:tblBorders>
        <w:right w:val="single" w:color="000000" w:themeColor="accent4" w:themeTint="9A" w:sz="4" w:space="0"/>
      </w:tblBorders>
    </w:tblPr>
    <w:tcPr>
      <w:tcBorders/>
    </w:tcPr>
    <w:tblStylePr w:type="band1Horz">
      <w:rPr>
        <w:rFonts w:ascii="Arial" w:hAnsi="Arial"/>
        <w:color w:val="9703ad" w:themeColor="accent4" w:themeTint="9A" w:themeShade="95"/>
        <w:sz w:val="22"/>
      </w:rPr>
      <w:pPr>
        <w:pBdr/>
        <w:spacing/>
        <w:ind/>
      </w:pPr>
      <w:tblPr>
        <w:tblBorders/>
      </w:tblPr>
      <w:tcPr>
        <w:shd w:val="clear" w:color="ffffff" w:themeColor="accent4" w:themeTint="40" w:fill="f3aafd" w:themeFill="accent4" w:themeFillTint="40"/>
        <w:tcBorders/>
      </w:tcPr>
    </w:tblStylePr>
    <w:tblStylePr w:type="band1Vert">
      <w:pPr>
        <w:pBdr/>
        <w:spacing/>
        <w:ind/>
      </w:pPr>
      <w:tblPr>
        <w:tblBorders/>
      </w:tblPr>
      <w:tcPr>
        <w:shd w:val="clear" w:color="ffffff" w:themeColor="accent4" w:themeTint="40" w:fill="f3aafd" w:themeFill="accent4" w:themeFillTint="40"/>
        <w:tcBorders/>
      </w:tcPr>
    </w:tblStylePr>
    <w:tblStylePr w:type="band2Horz">
      <w:rPr>
        <w:rFonts w:ascii="Arial" w:hAnsi="Arial"/>
        <w:color w:val="9703ad" w:themeColor="accent4"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9703ad" w:themeColor="accent4"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4" w:themeTint="9A" w:sz="4" w:space="0"/>
        </w:tcBorders>
      </w:tcPr>
    </w:tblStylePr>
    <w:tblStylePr w:type="firstRow">
      <w:rPr>
        <w:rFonts w:ascii="Arial" w:hAnsi="Arial"/>
        <w:i/>
        <w:color w:val="9703ad" w:themeColor="accent4"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4" w:themeTint="9A" w:sz="4" w:space="0"/>
          <w:right w:val="none" w:color="000000" w:sz="4" w:space="0"/>
        </w:tcBorders>
      </w:tcPr>
    </w:tblStylePr>
    <w:tblStylePr w:type="lastCol">
      <w:rPr>
        <w:rFonts w:ascii="Arial" w:hAnsi="Arial"/>
        <w:i/>
        <w:color w:val="9703ad" w:themeColor="accent4" w:themeTint="9A" w:themeShade="95"/>
        <w:sz w:val="22"/>
      </w:rPr>
      <w:pPr>
        <w:pBdr/>
        <w:spacing/>
        <w:ind/>
      </w:pPr>
      <w:tblPr>
        <w:tblBorders/>
      </w:tblPr>
      <w:tcPr>
        <w:shd w:val="clear" w:color="ffffff"/>
        <w:tcBorders>
          <w:top w:val="none" w:color="000000" w:sz="4" w:space="0"/>
          <w:left w:val="single" w:color="000000" w:themeColor="accent4" w:themeTint="9A" w:sz="4" w:space="0"/>
          <w:bottom w:val="none" w:color="000000" w:sz="4" w:space="0"/>
          <w:right w:val="none" w:color="000000" w:sz="4" w:space="0"/>
        </w:tcBorders>
      </w:tcPr>
    </w:tblStylePr>
    <w:tblStylePr w:type="lastRow">
      <w:rPr>
        <w:rFonts w:ascii="Arial" w:hAnsi="Arial"/>
        <w:i/>
        <w:color w:val="9703ad" w:themeColor="accent4" w:themeTint="9A" w:themeShade="95"/>
        <w:sz w:val="22"/>
      </w:rPr>
      <w:pPr>
        <w:pBdr/>
        <w:spacing/>
        <w:ind/>
      </w:pPr>
      <w:tblPr>
        <w:tblBorders/>
      </w:tblPr>
      <w:tcPr>
        <w:shd w:val="clear" w:color="ffffff" w:themeColor="light1" w:fill="ffffff" w:themeFill="light1"/>
        <w:tcBorders>
          <w:top w:val="single" w:color="000000" w:themeColor="accent4"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9703ad" w:themeColor="accent4" w:themeTint="9A" w:themeShade="95"/>
        <w:sz w:val="22"/>
      </w:rPr>
      <w:pPr>
        <w:pBdr/>
        <w:spacing/>
        <w:ind/>
      </w:pPr>
      <w:tblPr>
        <w:tblBorders/>
      </w:tblPr>
      <w:tcPr>
        <w:tcBorders/>
      </w:tcPr>
    </w:tblStylePr>
  </w:style>
  <w:style w:type="table" w:styleId="904">
    <w:name w:val="List Table 7 Colorful - Accent 5"/>
    <w:basedOn w:val="800"/>
    <w:uiPriority w:val="99"/>
    <w:pPr>
      <w:pBdr/>
      <w:spacing w:after="0" w:line="240" w:lineRule="auto"/>
      <w:ind/>
    </w:pPr>
    <w:tblPr>
      <w:tblStyleRowBandSize w:val="1"/>
      <w:tblStyleColBandSize w:val="1"/>
      <w:tblInd w:w="0" w:type="dxa"/>
      <w:tblBorders>
        <w:right w:val="single" w:color="000000" w:themeColor="accent5" w:themeTint="9A" w:sz="4" w:space="0"/>
      </w:tblBorders>
    </w:tblPr>
    <w:tcPr>
      <w:tcBorders/>
    </w:tcPr>
    <w:tblStylePr w:type="band1Horz">
      <w:rPr>
        <w:rFonts w:ascii="Arial" w:hAnsi="Arial"/>
        <w:color w:val="bd9300" w:themeColor="accent5" w:themeTint="9A" w:themeShade="95"/>
        <w:sz w:val="22"/>
      </w:rPr>
      <w:pPr>
        <w:pBdr/>
        <w:spacing/>
        <w:ind/>
      </w:pPr>
      <w:tblPr>
        <w:tblBorders/>
      </w:tblPr>
      <w:tcPr>
        <w:shd w:val="clear" w:color="ffffff" w:themeColor="accent5" w:themeTint="40" w:fill="ffeeb1" w:themeFill="accent5" w:themeFillTint="40"/>
        <w:tcBorders/>
      </w:tcPr>
    </w:tblStylePr>
    <w:tblStylePr w:type="band1Vert">
      <w:pPr>
        <w:pBdr/>
        <w:spacing/>
        <w:ind/>
      </w:pPr>
      <w:tblPr>
        <w:tblBorders/>
      </w:tblPr>
      <w:tcPr>
        <w:shd w:val="clear" w:color="ffffff" w:themeColor="accent5" w:themeTint="40" w:fill="ffeeb1" w:themeFill="accent5" w:themeFillTint="40"/>
        <w:tcBorders/>
      </w:tcPr>
    </w:tblStylePr>
    <w:tblStylePr w:type="band2Horz">
      <w:rPr>
        <w:rFonts w:ascii="Arial" w:hAnsi="Arial"/>
        <w:color w:val="bd9300" w:themeColor="accent5" w:themeTint="9A"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bd9300" w:themeColor="accent5" w:themeTint="9A"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5" w:themeTint="9A" w:sz="4" w:space="0"/>
        </w:tcBorders>
      </w:tcPr>
    </w:tblStylePr>
    <w:tblStylePr w:type="firstRow">
      <w:rPr>
        <w:rFonts w:ascii="Arial" w:hAnsi="Arial"/>
        <w:i/>
        <w:color w:val="bd9300" w:themeColor="accent5" w:themeTint="9A"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5" w:themeTint="9A" w:sz="4" w:space="0"/>
          <w:right w:val="none" w:color="000000" w:sz="4" w:space="0"/>
        </w:tcBorders>
      </w:tcPr>
    </w:tblStylePr>
    <w:tblStylePr w:type="lastCol">
      <w:rPr>
        <w:rFonts w:ascii="Arial" w:hAnsi="Arial"/>
        <w:i/>
        <w:color w:val="bd9300" w:themeColor="accent5" w:themeTint="9A" w:themeShade="95"/>
        <w:sz w:val="22"/>
      </w:rPr>
      <w:pPr>
        <w:pBdr/>
        <w:spacing/>
        <w:ind/>
      </w:pPr>
      <w:tblPr>
        <w:tblBorders/>
      </w:tblPr>
      <w:tcPr>
        <w:shd w:val="clear" w:color="ffffff"/>
        <w:tcBorders>
          <w:top w:val="none" w:color="000000" w:sz="4" w:space="0"/>
          <w:left w:val="single" w:color="000000" w:themeColor="accent5" w:themeTint="9A" w:sz="4" w:space="0"/>
          <w:bottom w:val="none" w:color="000000" w:sz="4" w:space="0"/>
          <w:right w:val="none" w:color="000000" w:sz="4" w:space="0"/>
        </w:tcBorders>
      </w:tcPr>
    </w:tblStylePr>
    <w:tblStylePr w:type="lastRow">
      <w:rPr>
        <w:rFonts w:ascii="Arial" w:hAnsi="Arial"/>
        <w:i/>
        <w:color w:val="bd9300" w:themeColor="accent5" w:themeTint="9A" w:themeShade="95"/>
        <w:sz w:val="22"/>
      </w:rPr>
      <w:pPr>
        <w:pBdr/>
        <w:spacing/>
        <w:ind/>
      </w:pPr>
      <w:tblPr>
        <w:tblBorders/>
      </w:tblPr>
      <w:tcPr>
        <w:shd w:val="clear" w:color="ffffff" w:themeColor="light1" w:fill="ffffff" w:themeFill="light1"/>
        <w:tcBorders>
          <w:top w:val="single" w:color="000000" w:themeColor="accent5" w:themeTint="9A"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bd9300" w:themeColor="accent5" w:themeTint="9A" w:themeShade="95"/>
        <w:sz w:val="22"/>
      </w:rPr>
      <w:pPr>
        <w:pBdr/>
        <w:spacing/>
        <w:ind/>
      </w:pPr>
      <w:tblPr>
        <w:tblBorders/>
      </w:tblPr>
      <w:tcPr>
        <w:tcBorders/>
      </w:tcPr>
    </w:tblStylePr>
  </w:style>
  <w:style w:type="table" w:styleId="905">
    <w:name w:val="List Table 7 Colorful - Accent 6"/>
    <w:basedOn w:val="800"/>
    <w:uiPriority w:val="99"/>
    <w:pPr>
      <w:pBdr/>
      <w:spacing w:after="0" w:line="240" w:lineRule="auto"/>
      <w:ind/>
    </w:pPr>
    <w:tblPr>
      <w:tblStyleRowBandSize w:val="1"/>
      <w:tblStyleColBandSize w:val="1"/>
      <w:tblInd w:w="0" w:type="dxa"/>
      <w:tblBorders>
        <w:right w:val="single" w:color="000000" w:themeColor="accent6" w:themeTint="98" w:sz="4" w:space="0"/>
      </w:tblBorders>
    </w:tblPr>
    <w:tcPr>
      <w:tcBorders/>
    </w:tcPr>
    <w:tblStylePr w:type="band1Horz">
      <w:rPr>
        <w:rFonts w:ascii="Arial" w:hAnsi="Arial"/>
        <w:color w:val="af1d1a" w:themeColor="accent6" w:themeTint="98" w:themeShade="95"/>
        <w:sz w:val="22"/>
      </w:rPr>
      <w:pPr>
        <w:pBdr/>
        <w:spacing/>
        <w:ind/>
      </w:pPr>
      <w:tblPr>
        <w:tblBorders/>
      </w:tblPr>
      <w:tcPr>
        <w:shd w:val="clear" w:color="ffffff" w:themeColor="accent6" w:themeTint="40" w:fill="f6c3c2" w:themeFill="accent6" w:themeFillTint="40"/>
        <w:tcBorders/>
      </w:tcPr>
    </w:tblStylePr>
    <w:tblStylePr w:type="band1Vert">
      <w:pPr>
        <w:pBdr/>
        <w:spacing/>
        <w:ind/>
      </w:pPr>
      <w:tblPr>
        <w:tblBorders/>
      </w:tblPr>
      <w:tcPr>
        <w:shd w:val="clear" w:color="ffffff" w:themeColor="accent6" w:themeTint="40" w:fill="f6c3c2" w:themeFill="accent6" w:themeFillTint="40"/>
        <w:tcBorders/>
      </w:tcPr>
    </w:tblStylePr>
    <w:tblStylePr w:type="band2Horz">
      <w:rPr>
        <w:rFonts w:ascii="Arial" w:hAnsi="Arial"/>
        <w:color w:val="af1d1a" w:themeColor="accent6" w:themeTint="98" w:themeShade="95"/>
        <w:sz w:val="22"/>
      </w:rPr>
      <w:pPr>
        <w:pBdr/>
        <w:spacing/>
        <w:ind/>
      </w:pPr>
      <w:tblPr>
        <w:tblBorders/>
      </w:tblPr>
      <w:tcPr>
        <w:tcBorders/>
      </w:tcPr>
    </w:tblStylePr>
    <w:tblStylePr w:type="band2Vert">
      <w:pPr>
        <w:pBdr/>
        <w:spacing/>
        <w:ind/>
      </w:pPr>
      <w:tblPr>
        <w:tblBorders/>
      </w:tblPr>
      <w:tcPr>
        <w:tcBorders/>
      </w:tcPr>
    </w:tblStylePr>
    <w:tblStylePr w:type="firstCol">
      <w:rPr>
        <w:rFonts w:ascii="Arial" w:hAnsi="Arial"/>
        <w:i/>
        <w:color w:val="af1d1a" w:themeColor="accent6" w:themeTint="98" w:themeShade="95"/>
        <w:sz w:val="22"/>
      </w:rPr>
      <w:pPr>
        <w:pBdr/>
        <w:spacing/>
        <w:ind/>
        <w:jc w:val="right"/>
      </w:pPr>
      <w:tblPr>
        <w:tblBorders/>
      </w:tblPr>
      <w:tcPr>
        <w:shd w:val="clear" w:color="ffffff"/>
        <w:tcBorders>
          <w:top w:val="none" w:color="000000" w:sz="4" w:space="0"/>
          <w:left w:val="none" w:color="000000" w:sz="4" w:space="0"/>
          <w:bottom w:val="none" w:color="000000" w:sz="4" w:space="0"/>
          <w:right w:val="single" w:color="000000" w:themeColor="accent6" w:themeTint="98" w:sz="4" w:space="0"/>
        </w:tcBorders>
      </w:tcPr>
    </w:tblStylePr>
    <w:tblStylePr w:type="firstRow">
      <w:rPr>
        <w:rFonts w:ascii="Arial" w:hAnsi="Arial"/>
        <w:i/>
        <w:color w:val="af1d1a" w:themeColor="accent6" w:themeTint="98" w:themeShade="95"/>
        <w:sz w:val="22"/>
      </w:rPr>
      <w:pPr>
        <w:pBdr/>
        <w:spacing/>
        <w:ind/>
      </w:pPr>
      <w:tblPr>
        <w:tblBorders/>
      </w:tblPr>
      <w:tcPr>
        <w:shd w:val="clear" w:color="ffffff" w:themeColor="light1" w:fill="ffffff" w:themeFill="light1"/>
        <w:tcBorders>
          <w:top w:val="none" w:color="000000" w:sz="4" w:space="0"/>
          <w:left w:val="none" w:color="000000" w:sz="4" w:space="0"/>
          <w:bottom w:val="single" w:color="000000" w:themeColor="accent6" w:themeTint="98" w:sz="4" w:space="0"/>
          <w:right w:val="none" w:color="000000" w:sz="4" w:space="0"/>
        </w:tcBorders>
      </w:tcPr>
    </w:tblStylePr>
    <w:tblStylePr w:type="lastCol">
      <w:rPr>
        <w:rFonts w:ascii="Arial" w:hAnsi="Arial"/>
        <w:i/>
        <w:color w:val="af1d1a" w:themeColor="accent6" w:themeTint="98" w:themeShade="95"/>
        <w:sz w:val="22"/>
      </w:rPr>
      <w:pPr>
        <w:pBdr/>
        <w:spacing/>
        <w:ind/>
      </w:pPr>
      <w:tblPr>
        <w:tblBorders/>
      </w:tblPr>
      <w:tcPr>
        <w:shd w:val="clear" w:color="ffffff"/>
        <w:tcBorders>
          <w:top w:val="none" w:color="000000" w:sz="4" w:space="0"/>
          <w:left w:val="single" w:color="000000" w:themeColor="accent6" w:themeTint="98" w:sz="4" w:space="0"/>
          <w:bottom w:val="none" w:color="000000" w:sz="4" w:space="0"/>
          <w:right w:val="none" w:color="000000" w:sz="4" w:space="0"/>
        </w:tcBorders>
      </w:tcPr>
    </w:tblStylePr>
    <w:tblStylePr w:type="lastRow">
      <w:rPr>
        <w:rFonts w:ascii="Arial" w:hAnsi="Arial"/>
        <w:i/>
        <w:color w:val="af1d1a" w:themeColor="accent6" w:themeTint="98" w:themeShade="95"/>
        <w:sz w:val="22"/>
      </w:rPr>
      <w:pPr>
        <w:pBdr/>
        <w:spacing/>
        <w:ind/>
      </w:pPr>
      <w:tblPr>
        <w:tblBorders/>
      </w:tblPr>
      <w:tcPr>
        <w:shd w:val="clear" w:color="ffffff" w:themeColor="light1" w:fill="ffffff" w:themeFill="light1"/>
        <w:tcBorders>
          <w:top w:val="single" w:color="000000" w:themeColor="accent6" w:themeTint="98" w:sz="4" w:space="0"/>
          <w:left w:val="none" w:color="000000" w:sz="4" w:space="0"/>
          <w:bottom w:val="none" w:color="000000" w:sz="4" w:space="0"/>
          <w:right w:val="none" w:color="000000" w:sz="4"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rPr>
        <w:rFonts w:ascii="Arial" w:hAnsi="Arial"/>
        <w:color w:val="af1d1a" w:themeColor="accent6" w:themeTint="98" w:themeShade="95"/>
        <w:sz w:val="22"/>
      </w:rPr>
      <w:pPr>
        <w:pBdr/>
        <w:spacing/>
        <w:ind/>
      </w:pPr>
      <w:tblPr>
        <w:tblBorders/>
      </w:tblPr>
      <w:tcPr>
        <w:tcBorders/>
      </w:tcPr>
    </w:tblStylePr>
  </w:style>
  <w:style w:type="table" w:styleId="906">
    <w:name w:val="Lined - Accent"/>
    <w:basedOn w:val="80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7">
    <w:name w:val="Lined - Accent 1"/>
    <w:basedOn w:val="80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a3fd95"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a3fd95"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1cbf04"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1cbf04"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1cbf04"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1cbf04"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8">
    <w:name w:val="Lined - Accent 2"/>
    <w:basedOn w:val="80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bde6fe"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bde6fe"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37b4fb"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37b4fb"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37b4fb"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37b4fb"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09">
    <w:name w:val="Lined - Accent 3"/>
    <w:basedOn w:val="80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fed3ba"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fed3ba"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43f03"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43f03"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43f03"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43f03"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0">
    <w:name w:val="Lined - Accent 4"/>
    <w:basedOn w:val="80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5bafe"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5bafe"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e133fb"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e133fb"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e133fb"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e133fb"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1">
    <w:name w:val="Lined - Accent 5"/>
    <w:basedOn w:val="80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fff1c0"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fff1c0" w:themeFill="accent5" w:themeFillTint="34"/>
        <w:tcBorders/>
      </w:tcPr>
    </w:tblStylePr>
    <w:tblStylePr w:type="firstCol">
      <w:rPr>
        <w:rFonts w:ascii="Arial" w:hAnsi="Arial"/>
        <w:color w:val="f2f2f2"/>
        <w:sz w:val="22"/>
      </w:rPr>
      <w:pPr>
        <w:pBdr/>
        <w:spacing/>
        <w:ind/>
      </w:pPr>
      <w:tblPr>
        <w:tblBorders/>
      </w:tblPr>
      <w:tcPr>
        <w:shd w:val="clear" w:color="ffffff" w:themeColor="accent5" w:fill="c99c00" w:themeFill="accent5"/>
        <w:tcBorders/>
      </w:tcPr>
    </w:tblStylePr>
    <w:tblStylePr w:type="firstRow">
      <w:rPr>
        <w:rFonts w:ascii="Arial" w:hAnsi="Arial"/>
        <w:color w:val="f2f2f2"/>
        <w:sz w:val="22"/>
      </w:rPr>
      <w:pPr>
        <w:pBdr/>
        <w:spacing/>
        <w:ind/>
      </w:pPr>
      <w:tblPr>
        <w:tblBorders/>
      </w:tblPr>
      <w:tcPr>
        <w:shd w:val="clear" w:color="ffffff" w:themeColor="accent5" w:fill="c99c00" w:themeFill="accent5"/>
        <w:tcBorders/>
      </w:tcPr>
    </w:tblStylePr>
    <w:tblStylePr w:type="lastCol">
      <w:rPr>
        <w:rFonts w:ascii="Arial" w:hAnsi="Arial"/>
        <w:color w:val="f2f2f2"/>
        <w:sz w:val="22"/>
      </w:rPr>
      <w:pPr>
        <w:pBdr/>
        <w:spacing/>
        <w:ind/>
      </w:pPr>
      <w:tblPr>
        <w:tblBorders/>
      </w:tblPr>
      <w:tcPr>
        <w:shd w:val="clear" w:color="ffffff" w:themeColor="accent5" w:fill="c99c00" w:themeFill="accent5"/>
        <w:tcBorders/>
      </w:tcPr>
    </w:tblStylePr>
    <w:tblStylePr w:type="lastRow">
      <w:rPr>
        <w:rFonts w:ascii="Arial" w:hAnsi="Arial"/>
        <w:color w:val="f2f2f2"/>
        <w:sz w:val="22"/>
      </w:rPr>
      <w:pPr>
        <w:pBdr/>
        <w:spacing/>
        <w:ind/>
      </w:pPr>
      <w:tblPr>
        <w:tblBorders/>
      </w:tblPr>
      <w:tcPr>
        <w:shd w:val="clear" w:color="ffffff" w:themeColor="accent5" w:fill="c99c00"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2">
    <w:name w:val="Lined - Accent 6"/>
    <w:basedOn w:val="800"/>
    <w:uiPriority w:val="99"/>
    <w:pPr>
      <w:pBdr/>
      <w:spacing w:after="0" w:line="240" w:lineRule="auto"/>
      <w:ind/>
    </w:pPr>
    <w:rPr>
      <w:color w:val="404040"/>
    </w:rPr>
    <w:tblPr>
      <w:tblStyleRowBandSize w:val="1"/>
      <w:tblStyleColBandSize w:val="1"/>
      <w:tblInd w:w="0" w:type="dxa"/>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8cecd"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8cecd" w:themeFill="accent6" w:themeFillTint="34"/>
        <w:tcBorders/>
      </w:tcPr>
    </w:tblStylePr>
    <w:tblStylePr w:type="firstCol">
      <w:rPr>
        <w:rFonts w:ascii="Arial" w:hAnsi="Arial"/>
        <w:color w:val="f2f2f2"/>
        <w:sz w:val="22"/>
      </w:rPr>
      <w:pPr>
        <w:pBdr/>
        <w:spacing/>
        <w:ind/>
      </w:pPr>
      <w:tblPr>
        <w:tblBorders/>
      </w:tblPr>
      <w:tcPr>
        <w:shd w:val="clear" w:color="ffffff" w:themeColor="accent6" w:fill="c9211e" w:themeFill="accent6"/>
        <w:tcBorders/>
      </w:tcPr>
    </w:tblStylePr>
    <w:tblStylePr w:type="firstRow">
      <w:rPr>
        <w:rFonts w:ascii="Arial" w:hAnsi="Arial"/>
        <w:color w:val="f2f2f2"/>
        <w:sz w:val="22"/>
      </w:rPr>
      <w:pPr>
        <w:pBdr/>
        <w:spacing/>
        <w:ind/>
      </w:pPr>
      <w:tblPr>
        <w:tblBorders/>
      </w:tblPr>
      <w:tcPr>
        <w:shd w:val="clear" w:color="ffffff" w:themeColor="accent6" w:fill="c9211e" w:themeFill="accent6"/>
        <w:tcBorders/>
      </w:tcPr>
    </w:tblStylePr>
    <w:tblStylePr w:type="lastCol">
      <w:rPr>
        <w:rFonts w:ascii="Arial" w:hAnsi="Arial"/>
        <w:color w:val="f2f2f2"/>
        <w:sz w:val="22"/>
      </w:rPr>
      <w:pPr>
        <w:pBdr/>
        <w:spacing/>
        <w:ind/>
      </w:pPr>
      <w:tblPr>
        <w:tblBorders/>
      </w:tblPr>
      <w:tcPr>
        <w:shd w:val="clear" w:color="ffffff" w:themeColor="accent6" w:fill="c9211e" w:themeFill="accent6"/>
        <w:tcBorders/>
      </w:tcPr>
    </w:tblStylePr>
    <w:tblStylePr w:type="lastRow">
      <w:rPr>
        <w:rFonts w:ascii="Arial" w:hAnsi="Arial"/>
        <w:color w:val="f2f2f2"/>
        <w:sz w:val="22"/>
      </w:rPr>
      <w:pPr>
        <w:pBdr/>
        <w:spacing/>
        <w:ind/>
      </w:pPr>
      <w:tblPr>
        <w:tblBorders/>
      </w:tblPr>
      <w:tcPr>
        <w:shd w:val="clear" w:color="ffffff" w:themeColor="accent6" w:fill="c9211e"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3">
    <w:name w:val="Bordered &amp; Lined - Accent"/>
    <w:basedOn w:val="800"/>
    <w:uiPriority w:val="99"/>
    <w:pPr>
      <w:pBdr/>
      <w:spacing w:after="0" w:line="240" w:lineRule="auto"/>
      <w:ind/>
    </w:pPr>
    <w:rPr>
      <w:color w:val="404040"/>
    </w:rPr>
    <w:tblPr>
      <w:tblStyleRowBandSize w:val="1"/>
      <w:tblStyleColBandSize w:val="1"/>
      <w:tblInd w:w="0" w:type="dxa"/>
      <w:tblBorders>
        <w:top w:val="single" w:color="000000" w:themeColor="text1" w:themeTint="A6" w:sz="4" w:space="0"/>
        <w:left w:val="single" w:color="000000" w:themeColor="text1" w:themeTint="A6" w:sz="4" w:space="0"/>
        <w:bottom w:val="single" w:color="000000" w:themeColor="text1" w:themeTint="A6" w:sz="4" w:space="0"/>
        <w:right w:val="single" w:color="000000" w:themeColor="text1" w:themeTint="A6" w:sz="4" w:space="0"/>
        <w:insideH w:val="single" w:color="000000" w:themeColor="text1" w:themeTint="A6" w:sz="4" w:space="0"/>
        <w:insideV w:val="single" w:color="000000" w:themeColor="text1" w:themeTint="A6"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band2Vert">
      <w:rPr>
        <w:rFonts w:ascii="Arial" w:hAnsi="Arial"/>
        <w:color w:val="404040"/>
        <w:sz w:val="22"/>
      </w:rPr>
      <w:pPr>
        <w:pBdr/>
        <w:spacing/>
        <w:ind/>
      </w:pPr>
      <w:tblPr>
        <w:tblBorders/>
      </w:tblPr>
      <w:tcPr>
        <w:shd w:val="clear" w:color="ffffff" w:themeColor="text1" w:themeTint="0D" w:fill="f2f2f2" w:themeFill="text1" w:themeFillTint="0D"/>
        <w:tcBorders/>
      </w:tcPr>
    </w:tblStylePr>
    <w:tblStylePr w:type="fir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fir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Col">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lastRow">
      <w:rPr>
        <w:rFonts w:ascii="Arial" w:hAnsi="Arial"/>
        <w:color w:val="f2f2f2"/>
        <w:sz w:val="22"/>
      </w:rPr>
      <w:pPr>
        <w:pBdr/>
        <w:spacing/>
        <w:ind/>
      </w:pPr>
      <w:tblPr>
        <w:tblBorders/>
      </w:tblPr>
      <w:tcPr>
        <w:shd w:val="clear" w:color="ffffff" w:themeColor="text1" w:themeTint="80" w:fill="7f7f7f" w:themeFill="text1" w:themeFillTint="8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4">
    <w:name w:val="Bordered &amp; Lined - Accent 1"/>
    <w:basedOn w:val="800"/>
    <w:uiPriority w:val="99"/>
    <w:pPr>
      <w:pBdr/>
      <w:spacing w:after="0" w:line="240" w:lineRule="auto"/>
      <w:ind/>
    </w:pPr>
    <w:rPr>
      <w:color w:val="404040"/>
    </w:rPr>
    <w:tblPr>
      <w:tblStyleRowBandSize w:val="1"/>
      <w:tblStyleColBandSize w:val="1"/>
      <w:tblInd w:w="0" w:type="dxa"/>
      <w:tblBorders>
        <w:top w:val="single" w:color="000000" w:themeColor="accent1" w:themeShade="95" w:sz="4" w:space="0"/>
        <w:left w:val="single" w:color="000000" w:themeColor="accent1" w:themeShade="95" w:sz="4" w:space="0"/>
        <w:bottom w:val="single" w:color="000000" w:themeColor="accent1" w:themeShade="95" w:sz="4" w:space="0"/>
        <w:right w:val="single" w:color="000000" w:themeColor="accent1" w:themeShade="95" w:sz="4" w:space="0"/>
        <w:insideH w:val="single" w:color="000000" w:themeColor="accent1" w:themeShade="95" w:sz="4" w:space="0"/>
        <w:insideV w:val="single" w:color="000000" w:themeColor="accent1"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1" w:themeTint="50" w:fill="a3fd95" w:themeFill="accent1" w:themeFillTint="50"/>
        <w:tcBorders/>
      </w:tcPr>
    </w:tblStylePr>
    <w:tblStylePr w:type="band2Vert">
      <w:rPr>
        <w:rFonts w:ascii="Arial" w:hAnsi="Arial"/>
        <w:color w:val="404040"/>
        <w:sz w:val="22"/>
      </w:rPr>
      <w:pPr>
        <w:pBdr/>
        <w:spacing/>
        <w:ind/>
      </w:pPr>
      <w:tblPr>
        <w:tblBorders/>
      </w:tblPr>
      <w:tcPr>
        <w:shd w:val="clear" w:color="ffffff" w:themeColor="accent1" w:themeTint="50" w:fill="a3fd95" w:themeFill="accent1" w:themeFillTint="50"/>
        <w:tcBorders/>
      </w:tcPr>
    </w:tblStylePr>
    <w:tblStylePr w:type="firstCol">
      <w:rPr>
        <w:rFonts w:ascii="Arial" w:hAnsi="Arial"/>
        <w:color w:val="f2f2f2"/>
        <w:sz w:val="22"/>
      </w:rPr>
      <w:pPr>
        <w:pBdr/>
        <w:spacing/>
        <w:ind/>
      </w:pPr>
      <w:tblPr>
        <w:tblBorders/>
      </w:tblPr>
      <w:tcPr>
        <w:shd w:val="clear" w:color="ffffff" w:themeColor="accent1" w:themeTint="EA" w:fill="1cbf04" w:themeFill="accent1" w:themeFillTint="EA"/>
        <w:tcBorders/>
      </w:tcPr>
    </w:tblStylePr>
    <w:tblStylePr w:type="firstRow">
      <w:rPr>
        <w:rFonts w:ascii="Arial" w:hAnsi="Arial"/>
        <w:color w:val="f2f2f2"/>
        <w:sz w:val="22"/>
      </w:rPr>
      <w:pPr>
        <w:pBdr/>
        <w:spacing/>
        <w:ind/>
      </w:pPr>
      <w:tblPr>
        <w:tblBorders/>
      </w:tblPr>
      <w:tcPr>
        <w:shd w:val="clear" w:color="ffffff" w:themeColor="accent1" w:themeTint="EA" w:fill="1cbf04" w:themeFill="accent1" w:themeFillTint="EA"/>
        <w:tcBorders/>
      </w:tcPr>
    </w:tblStylePr>
    <w:tblStylePr w:type="lastCol">
      <w:rPr>
        <w:rFonts w:ascii="Arial" w:hAnsi="Arial"/>
        <w:color w:val="f2f2f2"/>
        <w:sz w:val="22"/>
      </w:rPr>
      <w:pPr>
        <w:pBdr/>
        <w:spacing/>
        <w:ind/>
      </w:pPr>
      <w:tblPr>
        <w:tblBorders/>
      </w:tblPr>
      <w:tcPr>
        <w:shd w:val="clear" w:color="ffffff" w:themeColor="accent1" w:themeTint="EA" w:fill="1cbf04" w:themeFill="accent1" w:themeFillTint="EA"/>
        <w:tcBorders/>
      </w:tcPr>
    </w:tblStylePr>
    <w:tblStylePr w:type="lastRow">
      <w:rPr>
        <w:rFonts w:ascii="Arial" w:hAnsi="Arial"/>
        <w:color w:val="f2f2f2"/>
        <w:sz w:val="22"/>
      </w:rPr>
      <w:pPr>
        <w:pBdr/>
        <w:spacing/>
        <w:ind/>
      </w:pPr>
      <w:tblPr>
        <w:tblBorders/>
      </w:tblPr>
      <w:tcPr>
        <w:shd w:val="clear" w:color="ffffff" w:themeColor="accent1" w:themeTint="EA" w:fill="1cbf04" w:themeFill="accent1" w:themeFillTint="E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5">
    <w:name w:val="Bordered &amp; Lined - Accent 2"/>
    <w:basedOn w:val="800"/>
    <w:uiPriority w:val="99"/>
    <w:pPr>
      <w:pBdr/>
      <w:spacing w:after="0" w:line="240" w:lineRule="auto"/>
      <w:ind/>
    </w:pPr>
    <w:rPr>
      <w:color w:val="404040"/>
    </w:rPr>
    <w:tblPr>
      <w:tblStyleRowBandSize w:val="1"/>
      <w:tblStyleColBandSize w:val="1"/>
      <w:tblInd w:w="0" w:type="dxa"/>
      <w:tblBorders>
        <w:top w:val="single" w:color="000000" w:themeColor="accent2" w:themeShade="95" w:sz="4" w:space="0"/>
        <w:left w:val="single" w:color="000000" w:themeColor="accent2" w:themeShade="95" w:sz="4" w:space="0"/>
        <w:bottom w:val="single" w:color="000000" w:themeColor="accent2" w:themeShade="95" w:sz="4" w:space="0"/>
        <w:right w:val="single" w:color="000000" w:themeColor="accent2" w:themeShade="95" w:sz="4" w:space="0"/>
        <w:insideH w:val="single" w:color="000000" w:themeColor="accent2" w:themeShade="95" w:sz="4" w:space="0"/>
        <w:insideV w:val="single" w:color="000000" w:themeColor="accent2"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2" w:themeTint="32" w:fill="bde6fe" w:themeFill="accent2" w:themeFillTint="32"/>
        <w:tcBorders/>
      </w:tcPr>
    </w:tblStylePr>
    <w:tblStylePr w:type="band2Vert">
      <w:rPr>
        <w:rFonts w:ascii="Arial" w:hAnsi="Arial"/>
        <w:color w:val="404040"/>
        <w:sz w:val="22"/>
      </w:rPr>
      <w:pPr>
        <w:pBdr/>
        <w:spacing/>
        <w:ind/>
      </w:pPr>
      <w:tblPr>
        <w:tblBorders/>
      </w:tblPr>
      <w:tcPr>
        <w:shd w:val="clear" w:color="ffffff" w:themeColor="accent2" w:themeTint="32" w:fill="bde6fe" w:themeFill="accent2" w:themeFillTint="32"/>
        <w:tcBorders/>
      </w:tcPr>
    </w:tblStylePr>
    <w:tblStylePr w:type="firstCol">
      <w:rPr>
        <w:rFonts w:ascii="Arial" w:hAnsi="Arial"/>
        <w:color w:val="f2f2f2"/>
        <w:sz w:val="22"/>
      </w:rPr>
      <w:pPr>
        <w:pBdr/>
        <w:spacing/>
        <w:ind/>
      </w:pPr>
      <w:tblPr>
        <w:tblBorders/>
      </w:tblPr>
      <w:tcPr>
        <w:shd w:val="clear" w:color="ffffff" w:themeColor="accent2" w:themeTint="97" w:fill="37b4fb" w:themeFill="accent2" w:themeFillTint="97"/>
        <w:tcBorders/>
      </w:tcPr>
    </w:tblStylePr>
    <w:tblStylePr w:type="firstRow">
      <w:rPr>
        <w:rFonts w:ascii="Arial" w:hAnsi="Arial"/>
        <w:color w:val="f2f2f2"/>
        <w:sz w:val="22"/>
      </w:rPr>
      <w:pPr>
        <w:pBdr/>
        <w:spacing/>
        <w:ind/>
      </w:pPr>
      <w:tblPr>
        <w:tblBorders/>
      </w:tblPr>
      <w:tcPr>
        <w:shd w:val="clear" w:color="ffffff" w:themeColor="accent2" w:themeTint="97" w:fill="37b4fb" w:themeFill="accent2" w:themeFillTint="97"/>
        <w:tcBorders/>
      </w:tcPr>
    </w:tblStylePr>
    <w:tblStylePr w:type="lastCol">
      <w:rPr>
        <w:rFonts w:ascii="Arial" w:hAnsi="Arial"/>
        <w:color w:val="f2f2f2"/>
        <w:sz w:val="22"/>
      </w:rPr>
      <w:pPr>
        <w:pBdr/>
        <w:spacing/>
        <w:ind/>
      </w:pPr>
      <w:tblPr>
        <w:tblBorders/>
      </w:tblPr>
      <w:tcPr>
        <w:shd w:val="clear" w:color="ffffff" w:themeColor="accent2" w:themeTint="97" w:fill="37b4fb" w:themeFill="accent2" w:themeFillTint="97"/>
        <w:tcBorders/>
      </w:tcPr>
    </w:tblStylePr>
    <w:tblStylePr w:type="lastRow">
      <w:rPr>
        <w:rFonts w:ascii="Arial" w:hAnsi="Arial"/>
        <w:color w:val="f2f2f2"/>
        <w:sz w:val="22"/>
      </w:rPr>
      <w:pPr>
        <w:pBdr/>
        <w:spacing/>
        <w:ind/>
      </w:pPr>
      <w:tblPr>
        <w:tblBorders/>
      </w:tblPr>
      <w:tcPr>
        <w:shd w:val="clear" w:color="ffffff" w:themeColor="accent2" w:themeTint="97" w:fill="37b4fb" w:themeFill="accent2" w:themeFillTint="97"/>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6">
    <w:name w:val="Bordered &amp; Lined - Accent 3"/>
    <w:basedOn w:val="800"/>
    <w:uiPriority w:val="99"/>
    <w:pPr>
      <w:pBdr/>
      <w:spacing w:after="0" w:line="240" w:lineRule="auto"/>
      <w:ind/>
    </w:pPr>
    <w:rPr>
      <w:color w:val="404040"/>
    </w:rPr>
    <w:tblPr>
      <w:tblStyleRowBandSize w:val="1"/>
      <w:tblStyleColBandSize w:val="1"/>
      <w:tblInd w:w="0" w:type="dxa"/>
      <w:tblBorders>
        <w:top w:val="single" w:color="000000" w:themeColor="accent3" w:themeShade="95" w:sz="4" w:space="0"/>
        <w:left w:val="single" w:color="000000" w:themeColor="accent3" w:themeShade="95" w:sz="4" w:space="0"/>
        <w:bottom w:val="single" w:color="000000" w:themeColor="accent3" w:themeShade="95" w:sz="4" w:space="0"/>
        <w:right w:val="single" w:color="000000" w:themeColor="accent3" w:themeShade="95" w:sz="4" w:space="0"/>
        <w:insideH w:val="single" w:color="000000" w:themeColor="accent3" w:themeShade="95" w:sz="4" w:space="0"/>
        <w:insideV w:val="single" w:color="000000" w:themeColor="accent3"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3" w:themeTint="34" w:fill="fed3ba" w:themeFill="accent3" w:themeFillTint="34"/>
        <w:tcBorders/>
      </w:tcPr>
    </w:tblStylePr>
    <w:tblStylePr w:type="band2Vert">
      <w:rPr>
        <w:rFonts w:ascii="Arial" w:hAnsi="Arial"/>
        <w:color w:val="404040"/>
        <w:sz w:val="22"/>
      </w:rPr>
      <w:pPr>
        <w:pBdr/>
        <w:spacing/>
        <w:ind/>
      </w:pPr>
      <w:tblPr>
        <w:tblBorders/>
      </w:tblPr>
      <w:tcPr>
        <w:shd w:val="clear" w:color="ffffff" w:themeColor="accent3" w:themeTint="34" w:fill="fed3ba" w:themeFill="accent3" w:themeFillTint="34"/>
        <w:tcBorders/>
      </w:tcPr>
    </w:tblStylePr>
    <w:tblStylePr w:type="firstCol">
      <w:rPr>
        <w:rFonts w:ascii="Arial" w:hAnsi="Arial"/>
        <w:color w:val="f2f2f2"/>
        <w:sz w:val="22"/>
      </w:rPr>
      <w:pPr>
        <w:pBdr/>
        <w:spacing/>
        <w:ind/>
      </w:pPr>
      <w:tblPr>
        <w:tblBorders/>
      </w:tblPr>
      <w:tcPr>
        <w:shd w:val="clear" w:color="ffffff" w:themeColor="accent3" w:themeTint="FE" w:fill="a43f03" w:themeFill="accent3" w:themeFillTint="FE"/>
        <w:tcBorders/>
      </w:tcPr>
    </w:tblStylePr>
    <w:tblStylePr w:type="firstRow">
      <w:rPr>
        <w:rFonts w:ascii="Arial" w:hAnsi="Arial"/>
        <w:color w:val="f2f2f2"/>
        <w:sz w:val="22"/>
      </w:rPr>
      <w:pPr>
        <w:pBdr/>
        <w:spacing/>
        <w:ind/>
      </w:pPr>
      <w:tblPr>
        <w:tblBorders/>
      </w:tblPr>
      <w:tcPr>
        <w:shd w:val="clear" w:color="ffffff" w:themeColor="accent3" w:themeTint="FE" w:fill="a43f03" w:themeFill="accent3" w:themeFillTint="FE"/>
        <w:tcBorders/>
      </w:tcPr>
    </w:tblStylePr>
    <w:tblStylePr w:type="lastCol">
      <w:rPr>
        <w:rFonts w:ascii="Arial" w:hAnsi="Arial"/>
        <w:color w:val="f2f2f2"/>
        <w:sz w:val="22"/>
      </w:rPr>
      <w:pPr>
        <w:pBdr/>
        <w:spacing/>
        <w:ind/>
      </w:pPr>
      <w:tblPr>
        <w:tblBorders/>
      </w:tblPr>
      <w:tcPr>
        <w:shd w:val="clear" w:color="ffffff" w:themeColor="accent3" w:themeTint="FE" w:fill="a43f03" w:themeFill="accent3" w:themeFillTint="FE"/>
        <w:tcBorders/>
      </w:tcPr>
    </w:tblStylePr>
    <w:tblStylePr w:type="lastRow">
      <w:rPr>
        <w:rFonts w:ascii="Arial" w:hAnsi="Arial"/>
        <w:color w:val="f2f2f2"/>
        <w:sz w:val="22"/>
      </w:rPr>
      <w:pPr>
        <w:pBdr/>
        <w:spacing/>
        <w:ind/>
      </w:pPr>
      <w:tblPr>
        <w:tblBorders/>
      </w:tblPr>
      <w:tcPr>
        <w:shd w:val="clear" w:color="ffffff" w:themeColor="accent3" w:themeTint="FE" w:fill="a43f03" w:themeFill="accent3" w:themeFillTint="FE"/>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7">
    <w:name w:val="Bordered &amp; Lined - Accent 4"/>
    <w:basedOn w:val="800"/>
    <w:uiPriority w:val="99"/>
    <w:pPr>
      <w:pBdr/>
      <w:spacing w:after="0" w:line="240" w:lineRule="auto"/>
      <w:ind/>
    </w:pPr>
    <w:rPr>
      <w:color w:val="404040"/>
    </w:rPr>
    <w:tblPr>
      <w:tblStyleRowBandSize w:val="1"/>
      <w:tblStyleColBandSize w:val="1"/>
      <w:tblInd w:w="0" w:type="dxa"/>
      <w:tblBorders>
        <w:top w:val="single" w:color="000000" w:themeColor="accent4" w:themeShade="95" w:sz="4" w:space="0"/>
        <w:left w:val="single" w:color="000000" w:themeColor="accent4" w:themeShade="95" w:sz="4" w:space="0"/>
        <w:bottom w:val="single" w:color="000000" w:themeColor="accent4" w:themeShade="95" w:sz="4" w:space="0"/>
        <w:right w:val="single" w:color="000000" w:themeColor="accent4" w:themeShade="95" w:sz="4" w:space="0"/>
        <w:insideH w:val="single" w:color="000000" w:themeColor="accent4" w:themeShade="95" w:sz="4" w:space="0"/>
        <w:insideV w:val="single" w:color="000000" w:themeColor="accent4"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4" w:themeTint="34" w:fill="f5bafe" w:themeFill="accent4" w:themeFillTint="34"/>
        <w:tcBorders/>
      </w:tcPr>
    </w:tblStylePr>
    <w:tblStylePr w:type="band2Vert">
      <w:rPr>
        <w:rFonts w:ascii="Arial" w:hAnsi="Arial"/>
        <w:color w:val="404040"/>
        <w:sz w:val="22"/>
      </w:rPr>
      <w:pPr>
        <w:pBdr/>
        <w:spacing/>
        <w:ind/>
      </w:pPr>
      <w:tblPr>
        <w:tblBorders/>
      </w:tblPr>
      <w:tcPr>
        <w:shd w:val="clear" w:color="ffffff" w:themeColor="accent4" w:themeTint="34" w:fill="f5bafe" w:themeFill="accent4" w:themeFillTint="34"/>
        <w:tcBorders/>
      </w:tcPr>
    </w:tblStylePr>
    <w:tblStylePr w:type="firstCol">
      <w:rPr>
        <w:rFonts w:ascii="Arial" w:hAnsi="Arial"/>
        <w:color w:val="f2f2f2"/>
        <w:sz w:val="22"/>
      </w:rPr>
      <w:pPr>
        <w:pBdr/>
        <w:spacing/>
        <w:ind/>
      </w:pPr>
      <w:tblPr>
        <w:tblBorders/>
      </w:tblPr>
      <w:tcPr>
        <w:shd w:val="clear" w:color="ffffff" w:themeColor="accent4" w:themeTint="9A" w:fill="e133fb" w:themeFill="accent4" w:themeFillTint="9A"/>
        <w:tcBorders/>
      </w:tcPr>
    </w:tblStylePr>
    <w:tblStylePr w:type="firstRow">
      <w:rPr>
        <w:rFonts w:ascii="Arial" w:hAnsi="Arial"/>
        <w:color w:val="f2f2f2"/>
        <w:sz w:val="22"/>
      </w:rPr>
      <w:pPr>
        <w:pBdr/>
        <w:spacing/>
        <w:ind/>
      </w:pPr>
      <w:tblPr>
        <w:tblBorders/>
      </w:tblPr>
      <w:tcPr>
        <w:shd w:val="clear" w:color="ffffff" w:themeColor="accent4" w:themeTint="9A" w:fill="e133fb" w:themeFill="accent4" w:themeFillTint="9A"/>
        <w:tcBorders/>
      </w:tcPr>
    </w:tblStylePr>
    <w:tblStylePr w:type="lastCol">
      <w:rPr>
        <w:rFonts w:ascii="Arial" w:hAnsi="Arial"/>
        <w:color w:val="f2f2f2"/>
        <w:sz w:val="22"/>
      </w:rPr>
      <w:pPr>
        <w:pBdr/>
        <w:spacing/>
        <w:ind/>
      </w:pPr>
      <w:tblPr>
        <w:tblBorders/>
      </w:tblPr>
      <w:tcPr>
        <w:shd w:val="clear" w:color="ffffff" w:themeColor="accent4" w:themeTint="9A" w:fill="e133fb" w:themeFill="accent4" w:themeFillTint="9A"/>
        <w:tcBorders/>
      </w:tcPr>
    </w:tblStylePr>
    <w:tblStylePr w:type="lastRow">
      <w:rPr>
        <w:rFonts w:ascii="Arial" w:hAnsi="Arial"/>
        <w:color w:val="f2f2f2"/>
        <w:sz w:val="22"/>
      </w:rPr>
      <w:pPr>
        <w:pBdr/>
        <w:spacing/>
        <w:ind/>
      </w:pPr>
      <w:tblPr>
        <w:tblBorders/>
      </w:tblPr>
      <w:tcPr>
        <w:shd w:val="clear" w:color="ffffff" w:themeColor="accent4" w:themeTint="9A" w:fill="e133fb" w:themeFill="accent4" w:themeFillTint="9A"/>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8">
    <w:name w:val="Bordered &amp; Lined - Accent 5"/>
    <w:basedOn w:val="800"/>
    <w:uiPriority w:val="99"/>
    <w:pPr>
      <w:pBdr/>
      <w:spacing w:after="0" w:line="240" w:lineRule="auto"/>
      <w:ind/>
    </w:pPr>
    <w:rPr>
      <w:color w:val="404040"/>
    </w:rPr>
    <w:tblPr>
      <w:tblStyleRowBandSize w:val="1"/>
      <w:tblStyleColBandSize w:val="1"/>
      <w:tblInd w:w="0" w:type="dxa"/>
      <w:tblBorders>
        <w:top w:val="single" w:color="000000" w:themeColor="accent5" w:themeShade="95" w:sz="4" w:space="0"/>
        <w:left w:val="single" w:color="000000" w:themeColor="accent5" w:themeShade="95" w:sz="4" w:space="0"/>
        <w:bottom w:val="single" w:color="000000" w:themeColor="accent5" w:themeShade="95" w:sz="4" w:space="0"/>
        <w:right w:val="single" w:color="000000" w:themeColor="accent5" w:themeShade="95" w:sz="4" w:space="0"/>
        <w:insideH w:val="single" w:color="000000" w:themeColor="accent5" w:themeShade="95" w:sz="4" w:space="0"/>
        <w:insideV w:val="single" w:color="000000" w:themeColor="accent5"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5" w:themeTint="34" w:fill="fff1c0" w:themeFill="accent5" w:themeFillTint="34"/>
        <w:tcBorders/>
      </w:tcPr>
    </w:tblStylePr>
    <w:tblStylePr w:type="band2Vert">
      <w:rPr>
        <w:rFonts w:ascii="Arial" w:hAnsi="Arial"/>
        <w:color w:val="404040"/>
        <w:sz w:val="22"/>
      </w:rPr>
      <w:pPr>
        <w:pBdr/>
        <w:spacing/>
        <w:ind/>
      </w:pPr>
      <w:tblPr>
        <w:tblBorders/>
      </w:tblPr>
      <w:tcPr>
        <w:shd w:val="clear" w:color="ffffff" w:themeColor="accent5" w:themeTint="34" w:fill="fff1c0" w:themeFill="accent5" w:themeFillTint="34"/>
        <w:tcBorders/>
      </w:tcPr>
    </w:tblStylePr>
    <w:tblStylePr w:type="firstCol">
      <w:rPr>
        <w:rFonts w:ascii="Arial" w:hAnsi="Arial"/>
        <w:color w:val="f2f2f2"/>
        <w:sz w:val="22"/>
      </w:rPr>
      <w:pPr>
        <w:pBdr/>
        <w:spacing/>
        <w:ind/>
      </w:pPr>
      <w:tblPr>
        <w:tblBorders/>
      </w:tblPr>
      <w:tcPr>
        <w:shd w:val="clear" w:color="ffffff" w:themeColor="accent5" w:fill="c99c00" w:themeFill="accent5"/>
        <w:tcBorders/>
      </w:tcPr>
    </w:tblStylePr>
    <w:tblStylePr w:type="firstRow">
      <w:rPr>
        <w:rFonts w:ascii="Arial" w:hAnsi="Arial"/>
        <w:color w:val="f2f2f2"/>
        <w:sz w:val="22"/>
      </w:rPr>
      <w:pPr>
        <w:pBdr/>
        <w:spacing/>
        <w:ind/>
      </w:pPr>
      <w:tblPr>
        <w:tblBorders/>
      </w:tblPr>
      <w:tcPr>
        <w:shd w:val="clear" w:color="ffffff" w:themeColor="accent5" w:fill="c99c00" w:themeFill="accent5"/>
        <w:tcBorders/>
      </w:tcPr>
    </w:tblStylePr>
    <w:tblStylePr w:type="lastCol">
      <w:rPr>
        <w:rFonts w:ascii="Arial" w:hAnsi="Arial"/>
        <w:color w:val="f2f2f2"/>
        <w:sz w:val="22"/>
      </w:rPr>
      <w:pPr>
        <w:pBdr/>
        <w:spacing/>
        <w:ind/>
      </w:pPr>
      <w:tblPr>
        <w:tblBorders/>
      </w:tblPr>
      <w:tcPr>
        <w:shd w:val="clear" w:color="ffffff" w:themeColor="accent5" w:fill="c99c00" w:themeFill="accent5"/>
        <w:tcBorders/>
      </w:tcPr>
    </w:tblStylePr>
    <w:tblStylePr w:type="lastRow">
      <w:rPr>
        <w:rFonts w:ascii="Arial" w:hAnsi="Arial"/>
        <w:color w:val="f2f2f2"/>
        <w:sz w:val="22"/>
      </w:rPr>
      <w:pPr>
        <w:pBdr/>
        <w:spacing/>
        <w:ind/>
      </w:pPr>
      <w:tblPr>
        <w:tblBorders/>
      </w:tblPr>
      <w:tcPr>
        <w:shd w:val="clear" w:color="ffffff" w:themeColor="accent5" w:fill="c99c00" w:themeFill="accent5"/>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19">
    <w:name w:val="Bordered &amp; Lined - Accent 6"/>
    <w:basedOn w:val="800"/>
    <w:uiPriority w:val="99"/>
    <w:pPr>
      <w:pBdr/>
      <w:spacing w:after="0" w:line="240" w:lineRule="auto"/>
      <w:ind/>
    </w:pPr>
    <w:rPr>
      <w:color w:val="404040"/>
    </w:rPr>
    <w:tblPr>
      <w:tblStyleRowBandSize w:val="1"/>
      <w:tblStyleColBandSize w:val="1"/>
      <w:tblInd w:w="0" w:type="dxa"/>
      <w:tblBorders>
        <w:top w:val="single" w:color="000000" w:themeColor="accent6" w:themeShade="95" w:sz="4" w:space="0"/>
        <w:left w:val="single" w:color="000000" w:themeColor="accent6" w:themeShade="95" w:sz="4" w:space="0"/>
        <w:bottom w:val="single" w:color="000000" w:themeColor="accent6" w:themeShade="95" w:sz="4" w:space="0"/>
        <w:right w:val="single" w:color="000000" w:themeColor="accent6" w:themeShade="95" w:sz="4" w:space="0"/>
        <w:insideH w:val="single" w:color="000000" w:themeColor="accent6" w:themeShade="95" w:sz="4" w:space="0"/>
        <w:insideV w:val="single" w:color="000000" w:themeColor="accent6" w:themeShade="95" w:sz="4" w:space="0"/>
      </w:tblBorders>
    </w:tblPr>
    <w:tcPr>
      <w:tcBorders/>
    </w:tcPr>
    <w:tblStylePr w:type="band1Horz">
      <w:rPr>
        <w:rFonts w:ascii="Arial" w:hAnsi="Arial"/>
        <w:color w:val="404040"/>
        <w:sz w:val="22"/>
      </w:rPr>
      <w:pPr>
        <w:pBdr/>
        <w:spacing/>
        <w:ind/>
      </w:pPr>
      <w:tblPr>
        <w:tblBorders/>
      </w:tblPr>
      <w:tcPr>
        <w:tcBorders/>
      </w:tcPr>
    </w:tblStylePr>
    <w:tblStylePr w:type="band1Vert">
      <w:rPr>
        <w:rFonts w:ascii="Arial" w:hAnsi="Arial"/>
        <w:color w:val="404040"/>
        <w:sz w:val="22"/>
      </w:rPr>
      <w:pPr>
        <w:pBdr/>
        <w:spacing/>
        <w:ind/>
      </w:pPr>
      <w:tblPr>
        <w:tblBorders/>
      </w:tblPr>
      <w:tcPr>
        <w:tcBorders/>
      </w:tcPr>
    </w:tblStylePr>
    <w:tblStylePr w:type="band2Horz">
      <w:rPr>
        <w:rFonts w:ascii="Arial" w:hAnsi="Arial"/>
        <w:color w:val="404040"/>
        <w:sz w:val="22"/>
      </w:rPr>
      <w:pPr>
        <w:pBdr/>
        <w:spacing/>
        <w:ind/>
      </w:pPr>
      <w:tblPr>
        <w:tblBorders/>
      </w:tblPr>
      <w:tcPr>
        <w:shd w:val="clear" w:color="ffffff" w:themeColor="accent6" w:themeTint="34" w:fill="f8cecd" w:themeFill="accent6" w:themeFillTint="34"/>
        <w:tcBorders/>
      </w:tcPr>
    </w:tblStylePr>
    <w:tblStylePr w:type="band2Vert">
      <w:rPr>
        <w:rFonts w:ascii="Arial" w:hAnsi="Arial"/>
        <w:color w:val="404040"/>
        <w:sz w:val="22"/>
      </w:rPr>
      <w:pPr>
        <w:pBdr/>
        <w:spacing/>
        <w:ind/>
      </w:pPr>
      <w:tblPr>
        <w:tblBorders/>
      </w:tblPr>
      <w:tcPr>
        <w:shd w:val="clear" w:color="ffffff" w:themeColor="accent6" w:themeTint="34" w:fill="f8cecd" w:themeFill="accent6" w:themeFillTint="34"/>
        <w:tcBorders/>
      </w:tcPr>
    </w:tblStylePr>
    <w:tblStylePr w:type="firstCol">
      <w:rPr>
        <w:rFonts w:ascii="Arial" w:hAnsi="Arial"/>
        <w:color w:val="f2f2f2"/>
        <w:sz w:val="22"/>
      </w:rPr>
      <w:pPr>
        <w:pBdr/>
        <w:spacing/>
        <w:ind/>
      </w:pPr>
      <w:tblPr>
        <w:tblBorders/>
      </w:tblPr>
      <w:tcPr>
        <w:shd w:val="clear" w:color="ffffff" w:themeColor="accent6" w:fill="c9211e" w:themeFill="accent6"/>
        <w:tcBorders/>
      </w:tcPr>
    </w:tblStylePr>
    <w:tblStylePr w:type="firstRow">
      <w:rPr>
        <w:rFonts w:ascii="Arial" w:hAnsi="Arial"/>
        <w:color w:val="f2f2f2"/>
        <w:sz w:val="22"/>
      </w:rPr>
      <w:pPr>
        <w:pBdr/>
        <w:spacing/>
        <w:ind/>
      </w:pPr>
      <w:tblPr>
        <w:tblBorders/>
      </w:tblPr>
      <w:tcPr>
        <w:shd w:val="clear" w:color="ffffff" w:themeColor="accent6" w:fill="c9211e" w:themeFill="accent6"/>
        <w:tcBorders/>
      </w:tcPr>
    </w:tblStylePr>
    <w:tblStylePr w:type="lastCol">
      <w:rPr>
        <w:rFonts w:ascii="Arial" w:hAnsi="Arial"/>
        <w:color w:val="f2f2f2"/>
        <w:sz w:val="22"/>
      </w:rPr>
      <w:pPr>
        <w:pBdr/>
        <w:spacing/>
        <w:ind/>
      </w:pPr>
      <w:tblPr>
        <w:tblBorders/>
      </w:tblPr>
      <w:tcPr>
        <w:shd w:val="clear" w:color="ffffff" w:themeColor="accent6" w:fill="c9211e" w:themeFill="accent6"/>
        <w:tcBorders/>
      </w:tcPr>
    </w:tblStylePr>
    <w:tblStylePr w:type="lastRow">
      <w:rPr>
        <w:rFonts w:ascii="Arial" w:hAnsi="Arial"/>
        <w:color w:val="f2f2f2"/>
        <w:sz w:val="22"/>
      </w:rPr>
      <w:pPr>
        <w:pBdr/>
        <w:spacing/>
        <w:ind/>
      </w:pPr>
      <w:tblPr>
        <w:tblBorders/>
      </w:tblPr>
      <w:tcPr>
        <w:shd w:val="clear" w:color="ffffff" w:themeColor="accent6" w:fill="c9211e" w:themeFill="accent6"/>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0">
    <w:name w:val="Bordered"/>
    <w:basedOn w:val="800"/>
    <w:uiPriority w:val="99"/>
    <w:pPr>
      <w:pBdr/>
      <w:spacing w:after="0" w:line="240" w:lineRule="auto"/>
      <w:ind/>
    </w:pPr>
    <w:tblPr>
      <w:tblStyleRowBandSize w:val="1"/>
      <w:tblStyleColBandSize w:val="1"/>
      <w:tblInd w:w="0" w:type="dxa"/>
      <w:tbl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insideH w:val="single" w:color="000000" w:themeColor="text1" w:themeTint="26" w:sz="4" w:space="0"/>
        <w:insideV w:val="single" w:color="000000" w:themeColor="text1" w:themeTint="26" w:sz="4" w:space="0"/>
      </w:tblBorders>
    </w:tblPr>
    <w:tcPr>
      <w:tcBorders/>
    </w:tcPr>
    <w:tblStylePr w:type="band1Horz">
      <w:rPr>
        <w:rFonts w:ascii="Arial" w:hAnsi="Arial"/>
        <w:color w:val="404040"/>
        <w:sz w:val="22"/>
      </w:rPr>
      <w:pPr>
        <w:pBdr/>
        <w:spacing/>
        <w:ind/>
      </w:pPr>
      <w:tblPr>
        <w:tblBorders/>
      </w:tblPr>
      <w:tcPr>
        <w:tcBorders>
          <w:top w:val="single" w:color="000000" w:themeColor="text1" w:themeTint="26" w:sz="4" w:space="0"/>
          <w:left w:val="single" w:color="000000" w:themeColor="text1" w:themeTint="26" w:sz="4" w:space="0"/>
          <w:bottom w:val="single" w:color="000000" w:themeColor="text1" w:themeTint="26" w:sz="4" w:space="0"/>
          <w:right w:val="single" w:color="000000" w:themeColor="text1" w:themeTint="26"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text1" w:themeTint="80" w:sz="12" w:space="0"/>
        </w:tcBorders>
      </w:tcPr>
    </w:tblStylePr>
    <w:tblStylePr w:type="lastCol">
      <w:rPr>
        <w:rFonts w:ascii="Arial" w:hAnsi="Arial"/>
        <w:color w:val="404040"/>
        <w:sz w:val="22"/>
      </w:rPr>
      <w:pPr>
        <w:pBdr/>
        <w:spacing/>
        <w:ind/>
      </w:pPr>
      <w:tblPr>
        <w:tblBorders/>
      </w:tblPr>
      <w:tcPr>
        <w:tcBorders>
          <w:left w:val="single" w:color="000000" w:themeColor="text1" w:themeTint="80" w:sz="12" w:space="0"/>
        </w:tcBorders>
      </w:tcPr>
    </w:tblStylePr>
    <w:tblStylePr w:type="lastRow">
      <w:rPr>
        <w:rFonts w:ascii="Arial" w:hAnsi="Arial"/>
        <w:color w:val="404040"/>
        <w:sz w:val="22"/>
      </w:rPr>
      <w:pPr>
        <w:pBdr/>
        <w:spacing/>
        <w:ind/>
      </w:pPr>
      <w:tblPr>
        <w:tblBorders/>
      </w:tblPr>
      <w:tcPr>
        <w:tcBorders>
          <w:top w:val="single" w:color="000000" w:themeColor="text1" w:themeTint="80"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1">
    <w:name w:val="Bordered - Accent 1"/>
    <w:basedOn w:val="800"/>
    <w:uiPriority w:val="99"/>
    <w:pPr>
      <w:pBdr/>
      <w:spacing w:after="0" w:line="240" w:lineRule="auto"/>
      <w:ind/>
    </w:pPr>
    <w:tblPr>
      <w:tblStyleRowBandSize w:val="1"/>
      <w:tblStyleColBandSize w:val="1"/>
      <w:tblInd w:w="0" w:type="dxa"/>
      <w:tbl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insideH w:val="single" w:color="000000" w:themeColor="accent1" w:themeTint="67" w:sz="4" w:space="0"/>
        <w:insideV w:val="single" w:color="000000" w:themeColor="accent1"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1" w:themeTint="67" w:sz="4" w:space="0"/>
          <w:left w:val="single" w:color="000000" w:themeColor="accent1" w:themeTint="67" w:sz="4" w:space="0"/>
          <w:bottom w:val="single" w:color="000000" w:themeColor="accent1" w:themeTint="67" w:sz="4" w:space="0"/>
          <w:right w:val="single" w:color="000000" w:themeColor="accent1"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1" w:sz="12" w:space="0"/>
        </w:tcBorders>
      </w:tcPr>
    </w:tblStylePr>
    <w:tblStylePr w:type="lastCol">
      <w:rPr>
        <w:rFonts w:ascii="Arial" w:hAnsi="Arial"/>
        <w:color w:val="404040"/>
        <w:sz w:val="22"/>
      </w:rPr>
      <w:pPr>
        <w:pBdr/>
        <w:spacing/>
        <w:ind/>
      </w:pPr>
      <w:tblPr>
        <w:tblBorders/>
      </w:tblPr>
      <w:tcPr>
        <w:tcBorders>
          <w:left w:val="single" w:color="000000" w:themeColor="accent1" w:sz="12" w:space="0"/>
        </w:tcBorders>
      </w:tcPr>
    </w:tblStylePr>
    <w:tblStylePr w:type="lastRow">
      <w:rPr>
        <w:rFonts w:ascii="Arial" w:hAnsi="Arial"/>
        <w:color w:val="404040"/>
        <w:sz w:val="22"/>
      </w:rPr>
      <w:pPr>
        <w:pBdr/>
        <w:spacing/>
        <w:ind/>
      </w:pPr>
      <w:tblPr>
        <w:tblBorders/>
      </w:tblPr>
      <w:tcPr>
        <w:tcBorders>
          <w:top w:val="single" w:color="000000" w:themeColor="accent1"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2">
    <w:name w:val="Bordered - Accent 2"/>
    <w:basedOn w:val="800"/>
    <w:uiPriority w:val="99"/>
    <w:pPr>
      <w:pBdr/>
      <w:spacing w:after="0" w:line="240" w:lineRule="auto"/>
      <w:ind/>
    </w:pPr>
    <w:tblPr>
      <w:tblStyleRowBandSize w:val="1"/>
      <w:tblStyleColBandSize w:val="1"/>
      <w:tblInd w:w="0" w:type="dxa"/>
      <w:tbl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insideH w:val="single" w:color="000000" w:themeColor="accent2" w:themeTint="67" w:sz="4" w:space="0"/>
        <w:insideV w:val="single" w:color="000000" w:themeColor="accent2"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2" w:themeTint="67" w:sz="4" w:space="0"/>
          <w:left w:val="single" w:color="000000" w:themeColor="accent2" w:themeTint="67" w:sz="4" w:space="0"/>
          <w:bottom w:val="single" w:color="000000" w:themeColor="accent2" w:themeTint="67" w:sz="4" w:space="0"/>
          <w:right w:val="single" w:color="000000" w:themeColor="accent2"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2" w:themeTint="97" w:sz="12" w:space="0"/>
        </w:tcBorders>
      </w:tcPr>
    </w:tblStylePr>
    <w:tblStylePr w:type="lastCol">
      <w:rPr>
        <w:rFonts w:ascii="Arial" w:hAnsi="Arial"/>
        <w:color w:val="404040"/>
        <w:sz w:val="22"/>
      </w:rPr>
      <w:pPr>
        <w:pBdr/>
        <w:spacing/>
        <w:ind/>
      </w:pPr>
      <w:tblPr>
        <w:tblBorders/>
      </w:tblPr>
      <w:tcPr>
        <w:tcBorders>
          <w:left w:val="single" w:color="000000" w:themeColor="accent2" w:themeTint="97" w:sz="12" w:space="0"/>
        </w:tcBorders>
      </w:tcPr>
    </w:tblStylePr>
    <w:tblStylePr w:type="lastRow">
      <w:rPr>
        <w:rFonts w:ascii="Arial" w:hAnsi="Arial"/>
        <w:color w:val="404040"/>
        <w:sz w:val="22"/>
      </w:rPr>
      <w:pPr>
        <w:pBdr/>
        <w:spacing/>
        <w:ind/>
      </w:pPr>
      <w:tblPr>
        <w:tblBorders/>
      </w:tblPr>
      <w:tcPr>
        <w:tcBorders>
          <w:top w:val="single" w:color="000000" w:themeColor="accent2" w:themeTint="97"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3">
    <w:name w:val="Bordered - Accent 3"/>
    <w:basedOn w:val="800"/>
    <w:uiPriority w:val="99"/>
    <w:pPr>
      <w:pBdr/>
      <w:spacing w:after="0" w:line="240" w:lineRule="auto"/>
      <w:ind/>
    </w:pPr>
    <w:tblPr>
      <w:tblStyleRowBandSize w:val="1"/>
      <w:tblStyleColBandSize w:val="1"/>
      <w:tblInd w:w="0" w:type="dxa"/>
      <w:tbl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insideH w:val="single" w:color="000000" w:themeColor="accent3" w:themeTint="67" w:sz="4" w:space="0"/>
        <w:insideV w:val="single" w:color="000000" w:themeColor="accent3"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3" w:themeTint="67" w:sz="4" w:space="0"/>
          <w:left w:val="single" w:color="000000" w:themeColor="accent3" w:themeTint="67" w:sz="4" w:space="0"/>
          <w:bottom w:val="single" w:color="000000" w:themeColor="accent3" w:themeTint="67" w:sz="4" w:space="0"/>
          <w:right w:val="single" w:color="000000" w:themeColor="accent3"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3" w:themeTint="98" w:sz="12" w:space="0"/>
        </w:tcBorders>
      </w:tcPr>
    </w:tblStylePr>
    <w:tblStylePr w:type="lastCol">
      <w:rPr>
        <w:rFonts w:ascii="Arial" w:hAnsi="Arial"/>
        <w:color w:val="404040"/>
        <w:sz w:val="22"/>
      </w:rPr>
      <w:pPr>
        <w:pBdr/>
        <w:spacing/>
        <w:ind/>
      </w:pPr>
      <w:tblPr>
        <w:tblBorders/>
      </w:tblPr>
      <w:tcPr>
        <w:tcBorders>
          <w:left w:val="single" w:color="000000" w:themeColor="accent3" w:themeTint="98" w:sz="12" w:space="0"/>
        </w:tcBorders>
      </w:tcPr>
    </w:tblStylePr>
    <w:tblStylePr w:type="lastRow">
      <w:rPr>
        <w:rFonts w:ascii="Arial" w:hAnsi="Arial"/>
        <w:color w:val="404040"/>
        <w:sz w:val="22"/>
      </w:rPr>
      <w:pPr>
        <w:pBdr/>
        <w:spacing/>
        <w:ind/>
      </w:pPr>
      <w:tblPr>
        <w:tblBorders/>
      </w:tblPr>
      <w:tcPr>
        <w:tcBorders>
          <w:top w:val="single" w:color="000000" w:themeColor="accent3"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4">
    <w:name w:val="Bordered - Accent 4"/>
    <w:basedOn w:val="800"/>
    <w:uiPriority w:val="99"/>
    <w:pPr>
      <w:pBdr/>
      <w:spacing w:after="0" w:line="240" w:lineRule="auto"/>
      <w:ind/>
    </w:pPr>
    <w:tblPr>
      <w:tblStyleRowBandSize w:val="1"/>
      <w:tblStyleColBandSize w:val="1"/>
      <w:tblInd w:w="0" w:type="dxa"/>
      <w:tbl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insideH w:val="single" w:color="000000" w:themeColor="accent4" w:themeTint="67" w:sz="4" w:space="0"/>
        <w:insideV w:val="single" w:color="000000" w:themeColor="accent4"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4" w:themeTint="67" w:sz="4" w:space="0"/>
          <w:left w:val="single" w:color="000000" w:themeColor="accent4" w:themeTint="67" w:sz="4" w:space="0"/>
          <w:bottom w:val="single" w:color="000000" w:themeColor="accent4" w:themeTint="67" w:sz="4" w:space="0"/>
          <w:right w:val="single" w:color="000000" w:themeColor="accent4"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4" w:themeTint="9A" w:sz="12" w:space="0"/>
        </w:tcBorders>
      </w:tcPr>
    </w:tblStylePr>
    <w:tblStylePr w:type="lastCol">
      <w:rPr>
        <w:rFonts w:ascii="Arial" w:hAnsi="Arial"/>
        <w:color w:val="404040"/>
        <w:sz w:val="22"/>
      </w:rPr>
      <w:pPr>
        <w:pBdr/>
        <w:spacing/>
        <w:ind/>
      </w:pPr>
      <w:tblPr>
        <w:tblBorders/>
      </w:tblPr>
      <w:tcPr>
        <w:tcBorders>
          <w:left w:val="single" w:color="000000" w:themeColor="accent4" w:themeTint="9A" w:sz="12" w:space="0"/>
        </w:tcBorders>
      </w:tcPr>
    </w:tblStylePr>
    <w:tblStylePr w:type="lastRow">
      <w:rPr>
        <w:rFonts w:ascii="Arial" w:hAnsi="Arial"/>
        <w:color w:val="404040"/>
        <w:sz w:val="22"/>
      </w:rPr>
      <w:pPr>
        <w:pBdr/>
        <w:spacing/>
        <w:ind/>
      </w:pPr>
      <w:tblPr>
        <w:tblBorders/>
      </w:tblPr>
      <w:tcPr>
        <w:tcBorders>
          <w:top w:val="single" w:color="000000" w:themeColor="accent4"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5">
    <w:name w:val="Bordered - Accent 5"/>
    <w:basedOn w:val="800"/>
    <w:uiPriority w:val="99"/>
    <w:pPr>
      <w:pBdr/>
      <w:spacing w:after="0" w:line="240" w:lineRule="auto"/>
      <w:ind/>
    </w:pPr>
    <w:tblPr>
      <w:tblStyleRowBandSize w:val="1"/>
      <w:tblStyleColBandSize w:val="1"/>
      <w:tblInd w:w="0" w:type="dxa"/>
      <w:tbl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insideH w:val="single" w:color="000000" w:themeColor="accent5" w:themeTint="67" w:sz="4" w:space="0"/>
        <w:insideV w:val="single" w:color="000000" w:themeColor="accent5"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5" w:themeTint="67" w:sz="4" w:space="0"/>
          <w:left w:val="single" w:color="000000" w:themeColor="accent5" w:themeTint="67" w:sz="4" w:space="0"/>
          <w:bottom w:val="single" w:color="000000" w:themeColor="accent5" w:themeTint="67" w:sz="4" w:space="0"/>
          <w:right w:val="single" w:color="000000" w:themeColor="accent5"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5" w:themeTint="9A" w:sz="12" w:space="0"/>
        </w:tcBorders>
      </w:tcPr>
    </w:tblStylePr>
    <w:tblStylePr w:type="lastCol">
      <w:rPr>
        <w:rFonts w:ascii="Arial" w:hAnsi="Arial"/>
        <w:color w:val="404040"/>
        <w:sz w:val="22"/>
      </w:rPr>
      <w:pPr>
        <w:pBdr/>
        <w:spacing/>
        <w:ind/>
      </w:pPr>
      <w:tblPr>
        <w:tblBorders/>
      </w:tblPr>
      <w:tcPr>
        <w:tcBorders>
          <w:left w:val="single" w:color="000000" w:themeColor="accent5" w:themeTint="9A" w:sz="12" w:space="0"/>
        </w:tcBorders>
      </w:tcPr>
    </w:tblStylePr>
    <w:tblStylePr w:type="lastRow">
      <w:rPr>
        <w:rFonts w:ascii="Arial" w:hAnsi="Arial"/>
        <w:color w:val="404040"/>
        <w:sz w:val="22"/>
      </w:rPr>
      <w:pPr>
        <w:pBdr/>
        <w:spacing/>
        <w:ind/>
      </w:pPr>
      <w:tblPr>
        <w:tblBorders/>
      </w:tblPr>
      <w:tcPr>
        <w:tcBorders>
          <w:top w:val="single" w:color="000000" w:themeColor="accent5" w:themeTint="9A"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table" w:styleId="926">
    <w:name w:val="Bordered - Accent 6"/>
    <w:basedOn w:val="800"/>
    <w:uiPriority w:val="99"/>
    <w:pPr>
      <w:pBdr/>
      <w:spacing w:after="0" w:line="240" w:lineRule="auto"/>
      <w:ind/>
    </w:pPr>
    <w:tblPr>
      <w:tblStyleRowBandSize w:val="1"/>
      <w:tblStyleColBandSize w:val="1"/>
      <w:tblInd w:w="0" w:type="dxa"/>
      <w:tbl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insideH w:val="single" w:color="000000" w:themeColor="accent6" w:themeTint="67" w:sz="4" w:space="0"/>
        <w:insideV w:val="single" w:color="000000" w:themeColor="accent6" w:themeTint="67" w:sz="4" w:space="0"/>
      </w:tblBorders>
    </w:tblPr>
    <w:tcPr>
      <w:tcBorders/>
    </w:tcPr>
    <w:tblStylePr w:type="band1Horz">
      <w:rPr>
        <w:rFonts w:ascii="Arial" w:hAnsi="Arial"/>
        <w:color w:val="404040"/>
        <w:sz w:val="22"/>
      </w:rPr>
      <w:pPr>
        <w:pBdr/>
        <w:spacing/>
        <w:ind/>
      </w:pPr>
      <w:tblPr>
        <w:tblBorders/>
      </w:tblPr>
      <w:tcPr>
        <w:tcBorders>
          <w:top w:val="single" w:color="000000" w:themeColor="accent6" w:themeTint="67" w:sz="4" w:space="0"/>
          <w:left w:val="single" w:color="000000" w:themeColor="accent6" w:themeTint="67" w:sz="4" w:space="0"/>
          <w:bottom w:val="single" w:color="000000" w:themeColor="accent6" w:themeTint="67" w:sz="4" w:space="0"/>
          <w:right w:val="single" w:color="000000" w:themeColor="accent6" w:themeTint="67" w:sz="4" w:space="0"/>
        </w:tcBorders>
      </w:tcPr>
    </w:tblStylePr>
    <w:tblStylePr w:type="band1Vert">
      <w:pPr>
        <w:pBdr/>
        <w:spacing/>
        <w:ind/>
      </w:pPr>
      <w:tblPr>
        <w:tblBorders/>
      </w:tblPr>
      <w:tcPr>
        <w:tcBorders/>
      </w:tcPr>
    </w:tblStylePr>
    <w:tblStylePr w:type="band2Horz">
      <w:pPr>
        <w:pBdr/>
        <w:spacing/>
        <w:ind/>
      </w:pPr>
      <w:tblPr>
        <w:tblBorders/>
      </w:tblPr>
      <w:tcPr>
        <w:tcBorders/>
      </w:tcPr>
    </w:tblStylePr>
    <w:tblStylePr w:type="band2Vert">
      <w:pPr>
        <w:pBdr/>
        <w:spacing/>
        <w:ind/>
      </w:pPr>
      <w:tblPr>
        <w:tblBorders/>
      </w:tblPr>
      <w:tcPr>
        <w:tcBorders/>
      </w:tcPr>
    </w:tblStylePr>
    <w:tblStylePr w:type="firstCol">
      <w:rPr>
        <w:rFonts w:ascii="Arial" w:hAnsi="Arial"/>
        <w:color w:val="404040"/>
        <w:sz w:val="22"/>
      </w:rPr>
      <w:pPr>
        <w:pBdr/>
        <w:spacing/>
        <w:ind/>
      </w:pPr>
      <w:tblPr>
        <w:tblBorders/>
      </w:tblPr>
      <w:tcPr>
        <w:tcBorders/>
      </w:tcPr>
    </w:tblStylePr>
    <w:tblStylePr w:type="firstRow">
      <w:rPr>
        <w:rFonts w:ascii="Arial" w:hAnsi="Arial"/>
        <w:color w:val="404040"/>
        <w:sz w:val="22"/>
      </w:rPr>
      <w:pPr>
        <w:pBdr/>
        <w:spacing/>
        <w:ind/>
      </w:pPr>
      <w:tblPr>
        <w:tblBorders/>
      </w:tblPr>
      <w:tcPr>
        <w:tcBorders>
          <w:bottom w:val="single" w:color="000000" w:themeColor="accent6" w:themeTint="98" w:sz="12" w:space="0"/>
        </w:tcBorders>
      </w:tcPr>
    </w:tblStylePr>
    <w:tblStylePr w:type="lastCol">
      <w:rPr>
        <w:rFonts w:ascii="Arial" w:hAnsi="Arial"/>
        <w:color w:val="404040"/>
        <w:sz w:val="22"/>
      </w:rPr>
      <w:pPr>
        <w:pBdr/>
        <w:spacing/>
        <w:ind/>
      </w:pPr>
      <w:tblPr>
        <w:tblBorders/>
      </w:tblPr>
      <w:tcPr>
        <w:tcBorders>
          <w:left w:val="single" w:color="000000" w:themeColor="accent6" w:themeTint="98" w:sz="12" w:space="0"/>
        </w:tcBorders>
      </w:tcPr>
    </w:tblStylePr>
    <w:tblStylePr w:type="lastRow">
      <w:rPr>
        <w:rFonts w:ascii="Arial" w:hAnsi="Arial"/>
        <w:color w:val="404040"/>
        <w:sz w:val="22"/>
      </w:rPr>
      <w:pPr>
        <w:pBdr/>
        <w:spacing/>
        <w:ind/>
      </w:pPr>
      <w:tblPr>
        <w:tblBorders/>
      </w:tblPr>
      <w:tcPr>
        <w:tcBorders>
          <w:top w:val="single" w:color="000000" w:themeColor="accent6" w:themeTint="98" w:sz="12" w:space="0"/>
        </w:tcBorders>
      </w:tcPr>
    </w:tblStylePr>
    <w:tblStylePr w:type="nwCell">
      <w:pPr>
        <w:pBdr/>
        <w:spacing/>
        <w:ind/>
      </w:pPr>
      <w:tblPr>
        <w:tblBorders/>
      </w:tblPr>
      <w:tcPr>
        <w:tcBorders/>
      </w:tcPr>
    </w:tblStylePr>
    <w:tblStylePr w:type="neCell">
      <w:pPr>
        <w:pBdr/>
        <w:spacing/>
        <w:ind/>
      </w:pPr>
      <w:tblPr>
        <w:tblBorders/>
      </w:tblPr>
      <w:tcPr>
        <w:tcBorders/>
      </w:tcPr>
    </w:tblStylePr>
    <w:tblStylePr w:type="swCell">
      <w:pPr>
        <w:pBdr/>
        <w:spacing/>
        <w:ind/>
      </w:pPr>
      <w:tblPr>
        <w:tblBorders/>
      </w:tblPr>
      <w:tcPr>
        <w:tcBorders/>
      </w:tcPr>
    </w:tblStylePr>
    <w:tblStylePr w:type="seCell">
      <w:pPr>
        <w:pBdr/>
        <w:spacing/>
        <w:ind/>
      </w:pPr>
      <w:tblPr>
        <w:tblBorders/>
      </w:tblPr>
      <w:tcPr>
        <w:tcBorders/>
      </w:tcPr>
    </w:tblStylePr>
    <w:tblStylePr w:type="wholeTable">
      <w:pPr>
        <w:pBdr/>
        <w:spacing/>
        <w:ind/>
      </w:pPr>
      <w:tblPr>
        <w:tblBorders/>
      </w:tblPr>
      <w:tcPr>
        <w:tcBorders/>
      </w:tcPr>
    </w:tblStylePr>
  </w:style>
  <w:style w:type="paragraph" w:styleId="927">
    <w:name w:val="Heading 4"/>
    <w:basedOn w:val="978"/>
    <w:next w:val="978"/>
    <w:link w:val="938"/>
    <w:uiPriority w:val="9"/>
    <w:unhideWhenUsed/>
    <w:qFormat/>
    <w:pPr>
      <w:keepNext w:val="true"/>
      <w:keepLines w:val="true"/>
      <w:pBdr/>
      <w:spacing w:after="40" w:before="80"/>
      <w:ind/>
      <w:outlineLvl w:val="3"/>
    </w:pPr>
    <w:rPr>
      <w:rFonts w:ascii="Arial" w:hAnsi="Arial" w:eastAsia="Arial" w:cs="Arial"/>
      <w:i/>
      <w:iCs/>
      <w:color w:val="0f4761" w:themeColor="accent1" w:themeShade="BF"/>
    </w:rPr>
  </w:style>
  <w:style w:type="paragraph" w:styleId="928">
    <w:name w:val="Heading 5"/>
    <w:basedOn w:val="978"/>
    <w:next w:val="978"/>
    <w:link w:val="939"/>
    <w:uiPriority w:val="9"/>
    <w:unhideWhenUsed/>
    <w:qFormat/>
    <w:pPr>
      <w:keepNext w:val="true"/>
      <w:keepLines w:val="true"/>
      <w:pBdr/>
      <w:spacing w:after="40" w:before="80"/>
      <w:ind/>
      <w:outlineLvl w:val="4"/>
    </w:pPr>
    <w:rPr>
      <w:rFonts w:ascii="Arial" w:hAnsi="Arial" w:eastAsia="Arial" w:cs="Arial"/>
      <w:color w:val="0f4761" w:themeColor="accent1" w:themeShade="BF"/>
    </w:rPr>
  </w:style>
  <w:style w:type="paragraph" w:styleId="929">
    <w:name w:val="Heading 6"/>
    <w:basedOn w:val="978"/>
    <w:next w:val="978"/>
    <w:link w:val="940"/>
    <w:uiPriority w:val="9"/>
    <w:unhideWhenUsed/>
    <w:qFormat/>
    <w:pPr>
      <w:keepNext w:val="true"/>
      <w:keepLines w:val="true"/>
      <w:pBdr/>
      <w:spacing w:after="0" w:before="40"/>
      <w:ind/>
      <w:outlineLvl w:val="5"/>
    </w:pPr>
    <w:rPr>
      <w:rFonts w:ascii="Arial" w:hAnsi="Arial" w:eastAsia="Arial" w:cs="Arial"/>
      <w:i/>
      <w:iCs/>
      <w:color w:val="595959" w:themeColor="text1" w:themeTint="A6"/>
    </w:rPr>
  </w:style>
  <w:style w:type="paragraph" w:styleId="930">
    <w:name w:val="Heading 7"/>
    <w:basedOn w:val="978"/>
    <w:next w:val="978"/>
    <w:link w:val="941"/>
    <w:uiPriority w:val="9"/>
    <w:unhideWhenUsed/>
    <w:qFormat/>
    <w:pPr>
      <w:keepNext w:val="true"/>
      <w:keepLines w:val="true"/>
      <w:pBdr/>
      <w:spacing w:after="0" w:before="40"/>
      <w:ind/>
      <w:outlineLvl w:val="6"/>
    </w:pPr>
    <w:rPr>
      <w:rFonts w:ascii="Arial" w:hAnsi="Arial" w:eastAsia="Arial" w:cs="Arial"/>
      <w:color w:val="595959" w:themeColor="text1" w:themeTint="A6"/>
    </w:rPr>
  </w:style>
  <w:style w:type="paragraph" w:styleId="931">
    <w:name w:val="Heading 8"/>
    <w:basedOn w:val="978"/>
    <w:next w:val="978"/>
    <w:link w:val="942"/>
    <w:uiPriority w:val="9"/>
    <w:unhideWhenUsed/>
    <w:qFormat/>
    <w:pPr>
      <w:keepNext w:val="true"/>
      <w:keepLines w:val="true"/>
      <w:pBdr/>
      <w:spacing w:after="0"/>
      <w:ind/>
      <w:outlineLvl w:val="7"/>
    </w:pPr>
    <w:rPr>
      <w:rFonts w:ascii="Arial" w:hAnsi="Arial" w:eastAsia="Arial" w:cs="Arial"/>
      <w:i/>
      <w:iCs/>
      <w:color w:val="272727" w:themeColor="text1" w:themeTint="D8"/>
    </w:rPr>
  </w:style>
  <w:style w:type="paragraph" w:styleId="932">
    <w:name w:val="Heading 9"/>
    <w:basedOn w:val="978"/>
    <w:next w:val="978"/>
    <w:link w:val="943"/>
    <w:uiPriority w:val="9"/>
    <w:unhideWhenUsed/>
    <w:qFormat/>
    <w:pPr>
      <w:keepNext w:val="true"/>
      <w:keepLines w:val="true"/>
      <w:pBdr/>
      <w:spacing w:after="0"/>
      <w:ind/>
      <w:outlineLvl w:val="8"/>
    </w:pPr>
    <w:rPr>
      <w:rFonts w:ascii="Arial" w:hAnsi="Arial" w:eastAsia="Arial" w:cs="Arial"/>
      <w:i/>
      <w:iCs/>
      <w:color w:val="272727" w:themeColor="text1" w:themeTint="D8"/>
    </w:rPr>
  </w:style>
  <w:style w:type="character" w:styleId="933" w:default="1">
    <w:name w:val="Default Paragraph Font"/>
    <w:uiPriority w:val="1"/>
    <w:semiHidden/>
    <w:unhideWhenUsed/>
    <w:pPr>
      <w:pBdr/>
      <w:spacing/>
      <w:ind/>
    </w:pPr>
  </w:style>
  <w:style w:type="numbering" w:styleId="934" w:default="1">
    <w:name w:val="No List"/>
    <w:uiPriority w:val="99"/>
    <w:semiHidden/>
    <w:unhideWhenUsed/>
    <w:pPr>
      <w:pBdr/>
      <w:spacing/>
      <w:ind/>
    </w:pPr>
  </w:style>
  <w:style w:type="character" w:styleId="935">
    <w:name w:val="Heading 1 Char"/>
    <w:basedOn w:val="933"/>
    <w:link w:val="979"/>
    <w:uiPriority w:val="9"/>
    <w:pPr>
      <w:pBdr/>
      <w:spacing/>
      <w:ind/>
    </w:pPr>
    <w:rPr>
      <w:rFonts w:ascii="Arial" w:hAnsi="Arial" w:eastAsia="Arial" w:cs="Arial"/>
      <w:color w:val="0f4761" w:themeColor="accent1" w:themeShade="BF"/>
      <w:sz w:val="40"/>
      <w:szCs w:val="40"/>
    </w:rPr>
  </w:style>
  <w:style w:type="character" w:styleId="936">
    <w:name w:val="Heading 2 Char"/>
    <w:basedOn w:val="933"/>
    <w:link w:val="980"/>
    <w:uiPriority w:val="9"/>
    <w:pPr>
      <w:pBdr/>
      <w:spacing/>
      <w:ind/>
    </w:pPr>
    <w:rPr>
      <w:rFonts w:ascii="Arial" w:hAnsi="Arial" w:eastAsia="Arial" w:cs="Arial"/>
      <w:color w:val="0f4761" w:themeColor="accent1" w:themeShade="BF"/>
      <w:sz w:val="32"/>
      <w:szCs w:val="32"/>
    </w:rPr>
  </w:style>
  <w:style w:type="character" w:styleId="937">
    <w:name w:val="Heading 3 Char"/>
    <w:basedOn w:val="933"/>
    <w:link w:val="981"/>
    <w:uiPriority w:val="9"/>
    <w:pPr>
      <w:pBdr/>
      <w:spacing/>
      <w:ind/>
    </w:pPr>
    <w:rPr>
      <w:rFonts w:ascii="Arial" w:hAnsi="Arial" w:eastAsia="Arial" w:cs="Arial"/>
      <w:color w:val="0f4761" w:themeColor="accent1" w:themeShade="BF"/>
      <w:sz w:val="28"/>
      <w:szCs w:val="28"/>
    </w:rPr>
  </w:style>
  <w:style w:type="character" w:styleId="938">
    <w:name w:val="Heading 4 Char"/>
    <w:basedOn w:val="933"/>
    <w:link w:val="927"/>
    <w:uiPriority w:val="9"/>
    <w:pPr>
      <w:pBdr/>
      <w:spacing/>
      <w:ind/>
    </w:pPr>
    <w:rPr>
      <w:rFonts w:ascii="Arial" w:hAnsi="Arial" w:eastAsia="Arial" w:cs="Arial"/>
      <w:i/>
      <w:iCs/>
      <w:color w:val="0f4761" w:themeColor="accent1" w:themeShade="BF"/>
    </w:rPr>
  </w:style>
  <w:style w:type="character" w:styleId="939">
    <w:name w:val="Heading 5 Char"/>
    <w:basedOn w:val="933"/>
    <w:link w:val="928"/>
    <w:uiPriority w:val="9"/>
    <w:pPr>
      <w:pBdr/>
      <w:spacing/>
      <w:ind/>
    </w:pPr>
    <w:rPr>
      <w:rFonts w:ascii="Arial" w:hAnsi="Arial" w:eastAsia="Arial" w:cs="Arial"/>
      <w:color w:val="0f4761" w:themeColor="accent1" w:themeShade="BF"/>
    </w:rPr>
  </w:style>
  <w:style w:type="character" w:styleId="940">
    <w:name w:val="Heading 6 Char"/>
    <w:basedOn w:val="933"/>
    <w:link w:val="929"/>
    <w:uiPriority w:val="9"/>
    <w:pPr>
      <w:pBdr/>
      <w:spacing/>
      <w:ind/>
    </w:pPr>
    <w:rPr>
      <w:rFonts w:ascii="Arial" w:hAnsi="Arial" w:eastAsia="Arial" w:cs="Arial"/>
      <w:i/>
      <w:iCs/>
      <w:color w:val="595959" w:themeColor="text1" w:themeTint="A6"/>
    </w:rPr>
  </w:style>
  <w:style w:type="character" w:styleId="941">
    <w:name w:val="Heading 7 Char"/>
    <w:basedOn w:val="933"/>
    <w:link w:val="930"/>
    <w:uiPriority w:val="9"/>
    <w:pPr>
      <w:pBdr/>
      <w:spacing/>
      <w:ind/>
    </w:pPr>
    <w:rPr>
      <w:rFonts w:ascii="Arial" w:hAnsi="Arial" w:eastAsia="Arial" w:cs="Arial"/>
      <w:color w:val="595959" w:themeColor="text1" w:themeTint="A6"/>
    </w:rPr>
  </w:style>
  <w:style w:type="character" w:styleId="942">
    <w:name w:val="Heading 8 Char"/>
    <w:basedOn w:val="933"/>
    <w:link w:val="931"/>
    <w:uiPriority w:val="9"/>
    <w:pPr>
      <w:pBdr/>
      <w:spacing/>
      <w:ind/>
    </w:pPr>
    <w:rPr>
      <w:rFonts w:ascii="Arial" w:hAnsi="Arial" w:eastAsia="Arial" w:cs="Arial"/>
      <w:i/>
      <w:iCs/>
      <w:color w:val="272727" w:themeColor="text1" w:themeTint="D8"/>
    </w:rPr>
  </w:style>
  <w:style w:type="character" w:styleId="943">
    <w:name w:val="Heading 9 Char"/>
    <w:basedOn w:val="933"/>
    <w:link w:val="932"/>
    <w:uiPriority w:val="9"/>
    <w:pPr>
      <w:pBdr/>
      <w:spacing/>
      <w:ind/>
    </w:pPr>
    <w:rPr>
      <w:rFonts w:ascii="Arial" w:hAnsi="Arial" w:eastAsia="Arial" w:cs="Arial"/>
      <w:i/>
      <w:iCs/>
      <w:color w:val="272727" w:themeColor="text1" w:themeTint="D8"/>
    </w:rPr>
  </w:style>
  <w:style w:type="paragraph" w:styleId="944">
    <w:name w:val="Title"/>
    <w:basedOn w:val="978"/>
    <w:next w:val="978"/>
    <w:link w:val="945"/>
    <w:uiPriority w:val="10"/>
    <w:qFormat/>
    <w:pPr>
      <w:pBdr/>
      <w:spacing w:after="80" w:line="240" w:lineRule="auto"/>
      <w:ind/>
      <w:contextualSpacing w:val="true"/>
    </w:pPr>
    <w:rPr>
      <w:rFonts w:ascii="Arial" w:hAnsi="Arial" w:eastAsia="Arial" w:cs="Arial"/>
      <w:spacing w:val="-10"/>
      <w:sz w:val="56"/>
      <w:szCs w:val="56"/>
    </w:rPr>
  </w:style>
  <w:style w:type="character" w:styleId="945">
    <w:name w:val="Title Char"/>
    <w:basedOn w:val="933"/>
    <w:link w:val="944"/>
    <w:uiPriority w:val="10"/>
    <w:pPr>
      <w:pBdr/>
      <w:spacing/>
      <w:ind/>
    </w:pPr>
    <w:rPr>
      <w:rFonts w:ascii="Arial" w:hAnsi="Arial" w:eastAsia="Arial" w:cs="Arial"/>
      <w:spacing w:val="-10"/>
      <w:sz w:val="56"/>
      <w:szCs w:val="56"/>
    </w:rPr>
  </w:style>
  <w:style w:type="paragraph" w:styleId="946">
    <w:name w:val="Subtitle"/>
    <w:basedOn w:val="978"/>
    <w:next w:val="978"/>
    <w:link w:val="947"/>
    <w:uiPriority w:val="11"/>
    <w:qFormat/>
    <w:pPr>
      <w:numPr>
        <w:ilvl w:val="1"/>
      </w:numPr>
      <w:pBdr/>
      <w:spacing/>
      <w:ind/>
    </w:pPr>
    <w:rPr>
      <w:color w:val="595959" w:themeColor="text1" w:themeTint="A6"/>
      <w:spacing w:val="15"/>
      <w:sz w:val="28"/>
      <w:szCs w:val="28"/>
    </w:rPr>
  </w:style>
  <w:style w:type="character" w:styleId="947">
    <w:name w:val="Subtitle Char"/>
    <w:basedOn w:val="933"/>
    <w:link w:val="946"/>
    <w:uiPriority w:val="11"/>
    <w:pPr>
      <w:pBdr/>
      <w:spacing/>
      <w:ind/>
    </w:pPr>
    <w:rPr>
      <w:color w:val="595959" w:themeColor="text1" w:themeTint="A6"/>
      <w:spacing w:val="15"/>
      <w:sz w:val="28"/>
      <w:szCs w:val="28"/>
    </w:rPr>
  </w:style>
  <w:style w:type="paragraph" w:styleId="948">
    <w:name w:val="Quote"/>
    <w:basedOn w:val="978"/>
    <w:next w:val="978"/>
    <w:link w:val="949"/>
    <w:uiPriority w:val="29"/>
    <w:qFormat/>
    <w:pPr>
      <w:pBdr/>
      <w:spacing w:before="160"/>
      <w:ind/>
      <w:jc w:val="center"/>
    </w:pPr>
    <w:rPr>
      <w:i/>
      <w:iCs/>
      <w:color w:val="404040" w:themeColor="text1" w:themeTint="BF"/>
    </w:rPr>
  </w:style>
  <w:style w:type="character" w:styleId="949">
    <w:name w:val="Quote Char"/>
    <w:basedOn w:val="933"/>
    <w:link w:val="948"/>
    <w:uiPriority w:val="29"/>
    <w:pPr>
      <w:pBdr/>
      <w:spacing/>
      <w:ind/>
    </w:pPr>
    <w:rPr>
      <w:i/>
      <w:iCs/>
      <w:color w:val="404040" w:themeColor="text1" w:themeTint="BF"/>
    </w:rPr>
  </w:style>
  <w:style w:type="paragraph" w:styleId="950">
    <w:name w:val="List Paragraph"/>
    <w:basedOn w:val="978"/>
    <w:uiPriority w:val="34"/>
    <w:qFormat/>
    <w:pPr>
      <w:pBdr/>
      <w:spacing/>
      <w:ind w:left="720"/>
      <w:contextualSpacing w:val="true"/>
    </w:pPr>
  </w:style>
  <w:style w:type="character" w:styleId="951">
    <w:name w:val="Intense Emphasis"/>
    <w:basedOn w:val="933"/>
    <w:uiPriority w:val="21"/>
    <w:qFormat/>
    <w:pPr>
      <w:pBdr/>
      <w:spacing/>
      <w:ind/>
    </w:pPr>
    <w:rPr>
      <w:i/>
      <w:iCs/>
      <w:color w:val="0f4761" w:themeColor="accent1" w:themeShade="BF"/>
    </w:rPr>
  </w:style>
  <w:style w:type="paragraph" w:styleId="952">
    <w:name w:val="Intense Quote"/>
    <w:basedOn w:val="978"/>
    <w:next w:val="978"/>
    <w:link w:val="953"/>
    <w:uiPriority w:val="30"/>
    <w:qFormat/>
    <w:pPr>
      <w:pBdr>
        <w:top w:val="single" w:color="0f4761" w:themeColor="accent1" w:themeShade="BF" w:sz="4" w:space="10"/>
        <w:bottom w:val="single" w:color="0f4761" w:themeColor="accent1" w:themeShade="BF" w:sz="4" w:space="10"/>
      </w:pBdr>
      <w:spacing w:after="360" w:before="360"/>
      <w:ind w:right="864" w:left="864"/>
      <w:jc w:val="center"/>
    </w:pPr>
    <w:rPr>
      <w:i/>
      <w:iCs/>
      <w:color w:val="0f4761" w:themeColor="accent1" w:themeShade="BF"/>
    </w:rPr>
  </w:style>
  <w:style w:type="character" w:styleId="953">
    <w:name w:val="Intense Quote Char"/>
    <w:basedOn w:val="933"/>
    <w:link w:val="952"/>
    <w:uiPriority w:val="30"/>
    <w:pPr>
      <w:pBdr/>
      <w:spacing/>
      <w:ind/>
    </w:pPr>
    <w:rPr>
      <w:i/>
      <w:iCs/>
      <w:color w:val="0f4761" w:themeColor="accent1" w:themeShade="BF"/>
    </w:rPr>
  </w:style>
  <w:style w:type="character" w:styleId="954">
    <w:name w:val="Intense Reference"/>
    <w:basedOn w:val="933"/>
    <w:uiPriority w:val="32"/>
    <w:qFormat/>
    <w:pPr>
      <w:pBdr/>
      <w:spacing/>
      <w:ind/>
    </w:pPr>
    <w:rPr>
      <w:b/>
      <w:bCs/>
      <w:smallCaps/>
      <w:color w:val="0f4761" w:themeColor="accent1" w:themeShade="BF"/>
      <w:spacing w:val="5"/>
    </w:rPr>
  </w:style>
  <w:style w:type="paragraph" w:styleId="955">
    <w:name w:val="No Spacing"/>
    <w:basedOn w:val="978"/>
    <w:uiPriority w:val="1"/>
    <w:qFormat/>
    <w:pPr>
      <w:pBdr/>
      <w:spacing w:after="0" w:line="240" w:lineRule="auto"/>
      <w:ind/>
    </w:pPr>
  </w:style>
  <w:style w:type="character" w:styleId="956">
    <w:name w:val="Subtle Emphasis"/>
    <w:basedOn w:val="933"/>
    <w:uiPriority w:val="19"/>
    <w:qFormat/>
    <w:pPr>
      <w:pBdr/>
      <w:spacing/>
      <w:ind/>
    </w:pPr>
    <w:rPr>
      <w:i/>
      <w:iCs/>
      <w:color w:val="404040" w:themeColor="text1" w:themeTint="BF"/>
    </w:rPr>
  </w:style>
  <w:style w:type="character" w:styleId="957">
    <w:name w:val="Emphasis"/>
    <w:basedOn w:val="933"/>
    <w:uiPriority w:val="20"/>
    <w:qFormat/>
    <w:pPr>
      <w:pBdr/>
      <w:spacing/>
      <w:ind/>
    </w:pPr>
    <w:rPr>
      <w:i/>
      <w:iCs/>
    </w:rPr>
  </w:style>
  <w:style w:type="character" w:styleId="958">
    <w:name w:val="Strong"/>
    <w:basedOn w:val="933"/>
    <w:uiPriority w:val="22"/>
    <w:qFormat/>
    <w:pPr>
      <w:pBdr/>
      <w:spacing/>
      <w:ind/>
    </w:pPr>
    <w:rPr>
      <w:b/>
      <w:bCs/>
    </w:rPr>
  </w:style>
  <w:style w:type="character" w:styleId="959">
    <w:name w:val="Subtle Reference"/>
    <w:basedOn w:val="933"/>
    <w:uiPriority w:val="31"/>
    <w:qFormat/>
    <w:pPr>
      <w:pBdr/>
      <w:spacing/>
      <w:ind/>
    </w:pPr>
    <w:rPr>
      <w:smallCaps/>
      <w:color w:val="5a5a5a" w:themeColor="text1" w:themeTint="A5"/>
    </w:rPr>
  </w:style>
  <w:style w:type="character" w:styleId="960">
    <w:name w:val="Book Title"/>
    <w:basedOn w:val="933"/>
    <w:uiPriority w:val="33"/>
    <w:qFormat/>
    <w:pPr>
      <w:pBdr/>
      <w:spacing/>
      <w:ind/>
    </w:pPr>
    <w:rPr>
      <w:b/>
      <w:bCs/>
      <w:i/>
      <w:iCs/>
      <w:spacing w:val="5"/>
    </w:rPr>
  </w:style>
  <w:style w:type="character" w:styleId="961">
    <w:name w:val="Header Char"/>
    <w:basedOn w:val="933"/>
    <w:link w:val="995"/>
    <w:uiPriority w:val="99"/>
    <w:pPr>
      <w:pBdr/>
      <w:spacing/>
      <w:ind/>
    </w:pPr>
  </w:style>
  <w:style w:type="character" w:styleId="962">
    <w:name w:val="Footer Char"/>
    <w:basedOn w:val="933"/>
    <w:link w:val="996"/>
    <w:uiPriority w:val="99"/>
    <w:pPr>
      <w:pBdr/>
      <w:spacing/>
      <w:ind/>
    </w:pPr>
  </w:style>
  <w:style w:type="character" w:styleId="963">
    <w:name w:val="Footnote Text Char"/>
    <w:basedOn w:val="933"/>
    <w:link w:val="993"/>
    <w:uiPriority w:val="99"/>
    <w:semiHidden/>
    <w:pPr>
      <w:pBdr/>
      <w:spacing/>
      <w:ind/>
    </w:pPr>
    <w:rPr>
      <w:sz w:val="20"/>
      <w:szCs w:val="20"/>
    </w:rPr>
  </w:style>
  <w:style w:type="paragraph" w:styleId="964">
    <w:name w:val="endnote text"/>
    <w:basedOn w:val="978"/>
    <w:link w:val="965"/>
    <w:uiPriority w:val="99"/>
    <w:semiHidden/>
    <w:unhideWhenUsed/>
    <w:pPr>
      <w:pBdr/>
      <w:spacing w:after="0" w:line="240" w:lineRule="auto"/>
      <w:ind/>
    </w:pPr>
    <w:rPr>
      <w:sz w:val="20"/>
      <w:szCs w:val="20"/>
    </w:rPr>
  </w:style>
  <w:style w:type="character" w:styleId="965">
    <w:name w:val="Endnote Text Char"/>
    <w:basedOn w:val="933"/>
    <w:link w:val="964"/>
    <w:uiPriority w:val="99"/>
    <w:semiHidden/>
    <w:pPr>
      <w:pBdr/>
      <w:spacing/>
      <w:ind/>
    </w:pPr>
    <w:rPr>
      <w:sz w:val="20"/>
      <w:szCs w:val="20"/>
    </w:rPr>
  </w:style>
  <w:style w:type="character" w:styleId="966">
    <w:name w:val="Hyperlink"/>
    <w:basedOn w:val="933"/>
    <w:uiPriority w:val="99"/>
    <w:unhideWhenUsed/>
    <w:pPr>
      <w:pBdr/>
      <w:spacing/>
      <w:ind/>
    </w:pPr>
    <w:rPr>
      <w:color w:val="0563c1" w:themeColor="hyperlink"/>
      <w:u w:val="single"/>
    </w:rPr>
  </w:style>
  <w:style w:type="character" w:styleId="967">
    <w:name w:val="FollowedHyperlink"/>
    <w:basedOn w:val="933"/>
    <w:uiPriority w:val="99"/>
    <w:semiHidden/>
    <w:unhideWhenUsed/>
    <w:pPr>
      <w:pBdr/>
      <w:spacing/>
      <w:ind/>
    </w:pPr>
    <w:rPr>
      <w:color w:val="954f72" w:themeColor="followedHyperlink"/>
      <w:u w:val="single"/>
    </w:rPr>
  </w:style>
  <w:style w:type="paragraph" w:styleId="968">
    <w:name w:val="toc 3"/>
    <w:basedOn w:val="978"/>
    <w:next w:val="978"/>
    <w:uiPriority w:val="39"/>
    <w:unhideWhenUsed/>
    <w:pPr>
      <w:pBdr/>
      <w:spacing w:after="100"/>
      <w:ind w:left="440"/>
    </w:pPr>
  </w:style>
  <w:style w:type="paragraph" w:styleId="969">
    <w:name w:val="toc 4"/>
    <w:basedOn w:val="978"/>
    <w:next w:val="978"/>
    <w:uiPriority w:val="39"/>
    <w:unhideWhenUsed/>
    <w:pPr>
      <w:pBdr/>
      <w:spacing w:after="100"/>
      <w:ind w:left="660"/>
    </w:pPr>
  </w:style>
  <w:style w:type="paragraph" w:styleId="970">
    <w:name w:val="toc 5"/>
    <w:basedOn w:val="978"/>
    <w:next w:val="978"/>
    <w:uiPriority w:val="39"/>
    <w:unhideWhenUsed/>
    <w:pPr>
      <w:pBdr/>
      <w:spacing w:after="100"/>
      <w:ind w:left="880"/>
    </w:pPr>
  </w:style>
  <w:style w:type="paragraph" w:styleId="971">
    <w:name w:val="toc 6"/>
    <w:basedOn w:val="978"/>
    <w:next w:val="978"/>
    <w:uiPriority w:val="39"/>
    <w:unhideWhenUsed/>
    <w:pPr>
      <w:pBdr/>
      <w:spacing w:after="100"/>
      <w:ind w:left="1100"/>
    </w:pPr>
  </w:style>
  <w:style w:type="paragraph" w:styleId="972">
    <w:name w:val="toc 7"/>
    <w:basedOn w:val="978"/>
    <w:next w:val="978"/>
    <w:uiPriority w:val="39"/>
    <w:unhideWhenUsed/>
    <w:pPr>
      <w:pBdr/>
      <w:spacing w:after="100"/>
      <w:ind w:left="1320"/>
    </w:pPr>
  </w:style>
  <w:style w:type="paragraph" w:styleId="973">
    <w:name w:val="toc 8"/>
    <w:basedOn w:val="978"/>
    <w:next w:val="978"/>
    <w:uiPriority w:val="39"/>
    <w:unhideWhenUsed/>
    <w:pPr>
      <w:pBdr/>
      <w:spacing w:after="100"/>
      <w:ind w:left="1540"/>
    </w:pPr>
  </w:style>
  <w:style w:type="paragraph" w:styleId="974">
    <w:name w:val="toc 9"/>
    <w:basedOn w:val="978"/>
    <w:next w:val="978"/>
    <w:uiPriority w:val="39"/>
    <w:unhideWhenUsed/>
    <w:pPr>
      <w:pBdr/>
      <w:spacing w:after="100"/>
      <w:ind w:left="1760"/>
    </w:pPr>
  </w:style>
  <w:style w:type="character" w:styleId="975">
    <w:name w:val="Placeholder Text"/>
    <w:basedOn w:val="933"/>
    <w:uiPriority w:val="99"/>
    <w:semiHidden/>
    <w:pPr>
      <w:pBdr/>
      <w:spacing/>
      <w:ind/>
    </w:pPr>
    <w:rPr>
      <w:color w:val="666666"/>
    </w:rPr>
  </w:style>
  <w:style w:type="paragraph" w:styleId="976">
    <w:name w:val="TOC Heading"/>
    <w:uiPriority w:val="39"/>
    <w:unhideWhenUsed/>
    <w:pPr>
      <w:pBdr/>
      <w:spacing/>
      <w:ind/>
    </w:pPr>
  </w:style>
  <w:style w:type="paragraph" w:styleId="977">
    <w:name w:val="table of figures"/>
    <w:basedOn w:val="978"/>
    <w:next w:val="978"/>
    <w:uiPriority w:val="99"/>
    <w:unhideWhenUsed/>
    <w:pPr>
      <w:pBdr/>
      <w:spacing w:after="0" w:afterAutospacing="0"/>
      <w:ind/>
    </w:pPr>
  </w:style>
  <w:style w:type="paragraph" w:styleId="978" w:default="1">
    <w:name w:val="Normal"/>
    <w:qFormat/>
    <w:pPr>
      <w:widowControl w:val="false"/>
      <w:pBdr/>
      <w:bidi w:val="false"/>
      <w:spacing w:after="180" w:before="0" w:line="300" w:lineRule="auto"/>
      <w:ind/>
    </w:pPr>
    <w:rPr>
      <w:rFonts w:ascii="Calibri" w:hAnsi="Calibri" w:eastAsia="Microsoft YaHei" w:cs="FreeSans"/>
      <w:color w:val="1a2f2a"/>
      <w:sz w:val="22"/>
      <w:szCs w:val="24"/>
      <w:lang w:val="en-NZ" w:eastAsia="zh-CN" w:bidi="hi-IN"/>
    </w:rPr>
  </w:style>
  <w:style w:type="paragraph" w:styleId="979">
    <w:name w:val="Heading 1"/>
    <w:basedOn w:val="978"/>
    <w:qFormat/>
    <w:pPr>
      <w:keepNext w:val="true"/>
      <w:keepLines w:val="true"/>
      <w:pBdr/>
      <w:spacing w:after="200" w:before="500"/>
      <w:ind/>
      <w:outlineLvl w:val="0"/>
    </w:pPr>
    <w:rPr>
      <w:rFonts w:ascii="Calibri" w:hAnsi="Calibri" w:eastAsia="Microsoft YaHei"/>
      <w:b/>
      <w:color w:val="1b5e3b"/>
      <w:sz w:val="40"/>
    </w:rPr>
  </w:style>
  <w:style w:type="paragraph" w:styleId="980">
    <w:name w:val="Heading 2"/>
    <w:basedOn w:val="978"/>
    <w:qFormat/>
    <w:pPr>
      <w:keepNext w:val="true"/>
      <w:keepLines w:val="true"/>
      <w:pBdr/>
      <w:spacing w:after="140" w:before="360"/>
      <w:ind/>
      <w:outlineLvl w:val="1"/>
    </w:pPr>
    <w:rPr>
      <w:rFonts w:ascii="Calibri" w:hAnsi="Calibri" w:eastAsia="Microsoft YaHei"/>
      <w:b/>
      <w:color w:val="2e7d6f"/>
      <w:sz w:val="28"/>
    </w:rPr>
  </w:style>
  <w:style w:type="paragraph" w:styleId="981">
    <w:name w:val="Heading 3"/>
    <w:basedOn w:val="978"/>
    <w:qFormat/>
    <w:pPr>
      <w:keepNext w:val="true"/>
      <w:keepLines w:val="true"/>
      <w:pBdr/>
      <w:spacing w:after="100" w:before="260"/>
      <w:ind/>
      <w:outlineLvl w:val="2"/>
    </w:pPr>
    <w:rPr>
      <w:rFonts w:ascii="Calibri" w:hAnsi="Calibri" w:eastAsia="Microsoft YaHei"/>
      <w:b/>
      <w:color w:val="3d5c54"/>
      <w:sz w:val="24"/>
    </w:rPr>
  </w:style>
  <w:style w:type="character" w:styleId="982">
    <w:name w:val="Footnote Characters"/>
    <w:qFormat/>
    <w:pPr>
      <w:pBdr/>
      <w:spacing/>
      <w:ind/>
    </w:pPr>
  </w:style>
  <w:style w:type="character" w:styleId="983">
    <w:name w:val="footnote reference"/>
    <w:pPr>
      <w:pBdr/>
      <w:spacing/>
      <w:ind/>
    </w:pPr>
    <w:rPr>
      <w:vertAlign w:val="superscript"/>
    </w:rPr>
  </w:style>
  <w:style w:type="character" w:styleId="984">
    <w:name w:val="endnote reference"/>
    <w:pPr>
      <w:pBdr/>
      <w:spacing/>
      <w:ind/>
    </w:pPr>
    <w:rPr>
      <w:vertAlign w:val="superscript"/>
    </w:rPr>
  </w:style>
  <w:style w:type="character" w:styleId="985">
    <w:name w:val="Endnote Characters"/>
    <w:qFormat/>
    <w:pPr>
      <w:pBdr/>
      <w:spacing/>
      <w:ind/>
    </w:pPr>
  </w:style>
  <w:style w:type="paragraph" w:styleId="986">
    <w:name w:val="Heading"/>
    <w:basedOn w:val="978"/>
    <w:next w:val="987"/>
    <w:qFormat/>
    <w:pPr>
      <w:keepNext w:val="true"/>
      <w:pBdr/>
      <w:spacing w:after="120" w:before="240"/>
      <w:ind/>
    </w:pPr>
    <w:rPr>
      <w:rFonts w:ascii="Liberation Sans" w:hAnsi="Liberation Sans" w:eastAsia="Noto Sans CJK SC" w:cs="FreeSans"/>
      <w:sz w:val="28"/>
      <w:szCs w:val="28"/>
    </w:rPr>
  </w:style>
  <w:style w:type="paragraph" w:styleId="987">
    <w:name w:val="Body Text"/>
    <w:basedOn w:val="978"/>
    <w:pPr>
      <w:pBdr/>
      <w:spacing w:after="140" w:before="0" w:line="276" w:lineRule="auto"/>
      <w:ind/>
    </w:pPr>
  </w:style>
  <w:style w:type="paragraph" w:styleId="988">
    <w:name w:val="List"/>
    <w:basedOn w:val="987"/>
    <w:pPr>
      <w:pBdr/>
      <w:spacing/>
      <w:ind/>
    </w:pPr>
    <w:rPr>
      <w:rFonts w:cs="FreeSans"/>
    </w:rPr>
  </w:style>
  <w:style w:type="paragraph" w:styleId="989">
    <w:name w:val="Caption"/>
    <w:basedOn w:val="978"/>
    <w:qFormat/>
    <w:pPr>
      <w:pBdr/>
      <w:spacing w:after="280" w:before="60"/>
      <w:ind/>
      <w:jc w:val="center"/>
    </w:pPr>
    <w:rPr>
      <w:color w:val="6b8f7d"/>
      <w:sz w:val="20"/>
    </w:rPr>
  </w:style>
  <w:style w:type="paragraph" w:styleId="990">
    <w:name w:val="Index"/>
    <w:basedOn w:val="978"/>
    <w:qFormat/>
    <w:pPr>
      <w:suppressLineNumbers w:val="true"/>
      <w:pBdr/>
      <w:spacing/>
      <w:ind/>
    </w:pPr>
    <w:rPr>
      <w:rFonts w:cs="FreeSans"/>
    </w:rPr>
  </w:style>
  <w:style w:type="paragraph" w:styleId="991">
    <w:name w:val="toc 1"/>
    <w:basedOn w:val="978"/>
    <w:pPr>
      <w:pBdr/>
      <w:tabs>
        <w:tab w:val="clear" w:leader="none" w:pos="720"/>
        <w:tab w:val="right" w:leader="dot" w:pos="9350"/>
      </w:tabs>
      <w:spacing w:after="60" w:before="180"/>
      <w:ind w:left="0"/>
    </w:pPr>
    <w:rPr>
      <w:b/>
      <w:color w:val="1a2f2a"/>
    </w:rPr>
  </w:style>
  <w:style w:type="paragraph" w:styleId="992">
    <w:name w:val="toc 2"/>
    <w:basedOn w:val="978"/>
    <w:pPr>
      <w:pBdr/>
      <w:tabs>
        <w:tab w:val="clear" w:leader="none" w:pos="720"/>
        <w:tab w:val="right" w:leader="dot" w:pos="9350"/>
      </w:tabs>
      <w:spacing w:after="60" w:before="60"/>
      <w:ind w:left="360"/>
    </w:pPr>
    <w:rPr>
      <w:color w:val="3d5c54"/>
    </w:rPr>
  </w:style>
  <w:style w:type="paragraph" w:styleId="993">
    <w:name w:val="footnote text"/>
    <w:basedOn w:val="978"/>
    <w:pPr>
      <w:pBdr/>
      <w:spacing/>
      <w:ind/>
    </w:pPr>
  </w:style>
  <w:style w:type="paragraph" w:styleId="994">
    <w:name w:val="Header and Footer"/>
    <w:basedOn w:val="978"/>
    <w:qFormat/>
    <w:pPr>
      <w:pBdr/>
      <w:spacing/>
      <w:ind/>
    </w:pPr>
  </w:style>
  <w:style w:type="paragraph" w:styleId="995">
    <w:name w:val="Header"/>
    <w:basedOn w:val="994"/>
    <w:pPr>
      <w:pBdr/>
      <w:spacing/>
      <w:ind/>
    </w:pPr>
  </w:style>
  <w:style w:type="paragraph" w:styleId="996">
    <w:name w:val="Footer"/>
    <w:basedOn w:val="994"/>
    <w:pPr>
      <w:pBdr/>
      <w:spacing/>
      <w:ind/>
    </w:pPr>
  </w:style>
  <w:style w:type="paragraph" w:styleId="997">
    <w:name w:val="Header Left"/>
    <w:basedOn w:val="995"/>
    <w:qFormat/>
    <w:pPr>
      <w:pBdr/>
      <w:spacing/>
      <w:ind/>
    </w:pPr>
  </w:style>
</w:styles>
</file>

<file path=word/webSettings.xml><?xml version="1.0" encoding="utf-8"?>
<w:webSettings xmlns:w="http://schemas.openxmlformats.org/wordprocessingml/2006/main">
  <w:optimizeForBrowser/>
</w:webSettings>
</file>

<file path=word/_rels/comments.xml.rels><?xml version="1.0" encoding="UTF-8" standalone="yes"?><Relationships xmlns="http://schemas.openxmlformats.org/package/2006/relationships"></Relationships>
</file>

<file path=word/_rels/document.xml.rels><?xml version="1.0" encoding="UTF-8" standalone="yes"?><Relationships xmlns="http://schemas.openxmlformats.org/package/2006/relationships"><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ntTable" Target="fontTable.xm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footnotes" Target="footnotes.xml" /><Relationship Id="rId8"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s>
</file>

<file path=word/_rels/endnotes.xml.rels><?xml version="1.0" encoding="UTF-8" standalone="yes"?><Relationships xmlns="http://schemas.openxmlformats.org/package/2006/relationships"></Relationships>
</file>

<file path=word/_rels/footer1.xml.rels><?xml version="1.0" encoding="UTF-8" standalone="yes"?><Relationships xmlns="http://schemas.openxmlformats.org/package/2006/relationships"></Relationships>
</file>

<file path=word/_rels/footer2.xml.rels><?xml version="1.0" encoding="UTF-8" standalone="yes"?><Relationships xmlns="http://schemas.openxmlformats.org/package/2006/relationships"></Relationships>
</file>

<file path=word/_rels/footnotes.xml.rels><?xml version="1.0" encoding="UTF-8" standalone="yes"?><Relationships xmlns="http://schemas.openxmlformats.org/package/2006/relationships"></Relationships>
</file>

<file path=word/_rels/header1.xml.rels><?xml version="1.0" encoding="UTF-8" standalone="yes"?><Relationships xmlns="http://schemas.openxmlformats.org/package/2006/relationships"></Relationships>
</file>

<file path=word/_rels/header2.xml.rels><?xml version="1.0" encoding="UTF-8" standalone="yes"?><Relationships xmlns="http://schemas.openxmlformats.org/package/2006/relationships"></Relationships>
</file>

<file path=word/theme/theme1.xml><?xml version="1.0" encoding="utf-8"?>
<a:theme xmlns:a="http://schemas.openxmlformats.org/drawingml/2006/main" xmlns:r="http://schemas.openxmlformats.org/officeDocument/2006/relationships" xmlns:p="http://schemas.openxmlformats.org/presentation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na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
  <Application>ONLYOFFICE/9.3.1.8</Application>
  <HeadingPairs>
    <vt:vector size="0" baseType="variant"/>
  </HeadingPairs>
  <TitlesOfParts>
    <vt:vector size="0" baseType="lpstr"/>
  </TitlesOfPart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dc:language>en-NZ</dc:language>
  <cp:revision>2</cp:revision>
  <dcterms:modified xsi:type="dcterms:W3CDTF">2026-05-21T05:49:21Z</dcterms:modified>
</cp:coreProperties>
</file>